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7">
        <w:r>
          <w:rPr>
            <w:color w:val="434343"/>
            <w:u w:val="single"/>
          </w:rPr>
          <w:t>Winickoff 2014</w:t>
        </w:r>
      </w:hyperlink>
      <w:r>
        <w:rPr>
          <w:color w:val="434343"/>
        </w:rPr>
        <w:t>;</w:t>
      </w:r>
      <w:hyperlink r:id="rId8">
        <w:r>
          <w:rPr>
            <w:color w:val="434343"/>
          </w:rPr>
          <w:t xml:space="preserve"> </w:t>
        </w:r>
      </w:hyperlink>
      <w:hyperlink r:id="rId9">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224DE90" w:rsidR="00700E64" w:rsidRDefault="00D70C68">
      <w:pPr>
        <w:shd w:val="clear" w:color="auto" w:fill="FFFFFF"/>
        <w:rPr>
          <w:color w:val="434343"/>
        </w:rPr>
      </w:pPr>
      <w:r>
        <w:rPr>
          <w:color w:val="434343"/>
        </w:rPr>
        <w:t>The tobacco industry likes to frame NFG as a free choice issue. However,</w:t>
      </w:r>
      <w:hyperlink r:id="rId10" w:anchor=":~:text=Finding%202%2D3%3A%20Among%20adults,before%2026%20years%20of%20age.">
        <w:r>
          <w:rPr>
            <w:color w:val="434343"/>
          </w:rPr>
          <w:t xml:space="preserve"> </w:t>
        </w:r>
      </w:hyperlink>
      <w:hyperlink r:id="rId11" w:anchor=":~:text=Finding%202%2D3%3A%20Among%20adults,before%2026%20years%20of%20age.">
        <w:r>
          <w:rPr>
            <w:color w:val="434343"/>
            <w:u w:val="single"/>
          </w:rPr>
          <w:t>95% of tobacco use begins before the age of 21, and 99% before 26</w:t>
        </w:r>
      </w:hyperlink>
      <w:r>
        <w:rPr>
          <w:color w:val="434343"/>
        </w:rPr>
        <w:t>. Early tobacco use is more likely to lead to addiction, which by definition means the loss of free choice. There is no free choice when addiction drives desire. Tobacco is not a freedom, it is an addiction</w:t>
      </w:r>
      <w:r w:rsidR="00813222">
        <w:rPr>
          <w:color w:val="434343"/>
        </w:rPr>
        <w:t xml:space="preserve"> to nicotine</w:t>
      </w:r>
      <w:r>
        <w:rPr>
          <w:color w:val="434343"/>
        </w:rPr>
        <w:t xml:space="preserve"> and a burden—just ask people who use tobacco. Do they smoke because they want to, or because they need to? </w:t>
      </w:r>
      <w:r w:rsidR="00316196">
        <w:rPr>
          <w:color w:val="434343"/>
        </w:rPr>
        <w:t>Almost all current smokers wish they had never started.</w:t>
      </w:r>
      <w:r w:rsidR="00813222">
        <w:rPr>
          <w:color w:val="434343"/>
        </w:rPr>
        <w:t xml:space="preserve"> People who are addicted to nicotine continue to use tobacco not because they enjoy it but because they are treating the intolerable negative effects of nicotine withdrawal whenever the level gets too low in their brain. </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2" w:anchor=":~:text=Tobacco%20kills%20more%20than%20480%2C000,drugs%2C%20murders%20and%20suicides%20combined.">
        <w:r>
          <w:rPr>
            <w:color w:val="434343"/>
          </w:rPr>
          <w:t xml:space="preserve"> </w:t>
        </w:r>
      </w:hyperlink>
      <w:hyperlink r:id="rId13"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4">
        <w:r>
          <w:rPr>
            <w:color w:val="434343"/>
          </w:rPr>
          <w:t xml:space="preserve"> </w:t>
        </w:r>
      </w:hyperlink>
      <w:hyperlink r:id="rId15">
        <w:r>
          <w:rPr>
            <w:color w:val="434343"/>
            <w:u w:val="single"/>
          </w:rPr>
          <w:t>Six Brothers Inc. v. Town of Brookline</w:t>
        </w:r>
      </w:hyperlink>
      <w:r>
        <w:rPr>
          <w:color w:val="434343"/>
        </w:rPr>
        <w:t xml:space="preserve"> pg. 11 and 32). </w:t>
      </w:r>
    </w:p>
    <w:p w14:paraId="0000000E" w14:textId="111C1028"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0AB685E4" w:rsidR="00700E64" w:rsidRDefault="00D70C68">
      <w:pPr>
        <w:shd w:val="clear" w:color="auto" w:fill="FFFFFF"/>
        <w:rPr>
          <w:color w:val="434343"/>
        </w:rPr>
      </w:pPr>
      <w:r>
        <w:rPr>
          <w:color w:val="434343"/>
        </w:rPr>
        <w:t xml:space="preserve">It is important to remember that tobacco products are dangerous at all ages; there is no safe age of nicotine sale. NFG recognizes that </w:t>
      </w:r>
      <w:r w:rsidR="00813222">
        <w:rPr>
          <w:color w:val="434343"/>
        </w:rPr>
        <w:t xml:space="preserve">tobacco industry </w:t>
      </w:r>
      <w:r>
        <w:rPr>
          <w:color w:val="434343"/>
        </w:rPr>
        <w:t xml:space="preserve">nicotine is a harmful and 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lastRenderedPageBreak/>
        <w:t xml:space="preserve"> </w:t>
      </w:r>
    </w:p>
    <w:p w14:paraId="00000013" w14:textId="77777777" w:rsidR="00700E64" w:rsidRDefault="00D70C68">
      <w:pPr>
        <w:shd w:val="clear" w:color="auto" w:fill="FFFFFF"/>
        <w:rPr>
          <w:color w:val="434343"/>
        </w:rPr>
      </w:pPr>
      <w:r>
        <w:rPr>
          <w:color w:val="434343"/>
        </w:rPr>
        <w:t xml:space="preserve"> </w:t>
      </w:r>
    </w:p>
    <w:p w14:paraId="00000014" w14:textId="77777777" w:rsidR="00700E64" w:rsidRDefault="00D70C68">
      <w:pPr>
        <w:shd w:val="clear" w:color="auto" w:fill="FFFFFF"/>
        <w:rPr>
          <w:color w:val="434343"/>
        </w:rPr>
      </w:pPr>
      <w:r>
        <w:rPr>
          <w:b/>
          <w:color w:val="434343"/>
        </w:rPr>
        <w:t>What about veterans?</w:t>
      </w:r>
      <w:r>
        <w:rPr>
          <w:color w:val="434343"/>
        </w:rPr>
        <w:t xml:space="preserve"> </w:t>
      </w:r>
    </w:p>
    <w:p w14:paraId="00000015" w14:textId="415337ED" w:rsidR="00700E64" w:rsidRDefault="00D70C68">
      <w:pPr>
        <w:shd w:val="clear" w:color="auto" w:fill="FFFFFF"/>
        <w:rPr>
          <w:color w:val="434343"/>
        </w:rPr>
      </w:pPr>
      <w:r>
        <w:rPr>
          <w:color w:val="434343"/>
        </w:rPr>
        <w:t>Men and women who serve in the United States armed forces have greater military readiness, including increased stamina, fitness, and work capacity, when they do not use tobacco products. (</w:t>
      </w:r>
      <w:hyperlink r:id="rId16">
        <w:r>
          <w:rPr>
            <w:color w:val="434343"/>
            <w:u w:val="single"/>
          </w:rPr>
          <w:t>Institute of Medicine 2009</w:t>
        </w:r>
      </w:hyperlink>
      <w:r>
        <w:rPr>
          <w:color w:val="434343"/>
        </w:rPr>
        <w:t>). Additionally,</w:t>
      </w:r>
      <w:r w:rsidR="00316196">
        <w:rPr>
          <w:color w:val="434343"/>
        </w:rPr>
        <w:t xml:space="preserve"> non-users</w:t>
      </w:r>
      <w:r>
        <w:rPr>
          <w:color w:val="434343"/>
        </w:rPr>
        <w:t xml:space="preserve"> enjoy superior wound healing</w:t>
      </w:r>
      <w:r w:rsidR="00316196">
        <w:rPr>
          <w:color w:val="434343"/>
        </w:rPr>
        <w:t xml:space="preserve"> so they can get back faster after injuries</w:t>
      </w:r>
      <w:r>
        <w:rPr>
          <w:color w:val="434343"/>
        </w:rPr>
        <w:t xml:space="preserve"> (</w:t>
      </w:r>
      <w:hyperlink r:id="rId17">
        <w:r>
          <w:rPr>
            <w:color w:val="434343"/>
            <w:u w:val="single"/>
          </w:rPr>
          <w:t>Silverstein 1992</w:t>
        </w:r>
      </w:hyperlink>
      <w:r>
        <w:rPr>
          <w:color w:val="434343"/>
        </w:rPr>
        <w:t>) and are nearly twice as likely to successfully complete basic training (</w:t>
      </w:r>
      <w:hyperlink r:id="rId18">
        <w:r>
          <w:rPr>
            <w:color w:val="434343"/>
            <w:highlight w:val="white"/>
            <w:u w:val="single"/>
          </w:rPr>
          <w:t>Klesges 2000</w:t>
        </w:r>
      </w:hyperlink>
      <w:r>
        <w:rPr>
          <w:color w:val="434343"/>
        </w:rPr>
        <w:t xml:space="preserve">). NFG will improve our military readiness over time because fewer and fewer recruits will use tobacco products. Someone who is addicted to tobacco will have more trouble hauling gear over distance due to their diminished lung capacity. NFG does </w:t>
      </w:r>
      <w:r>
        <w:rPr>
          <w:color w:val="434343"/>
          <w:u w:val="single"/>
        </w:rPr>
        <w:t>not</w:t>
      </w:r>
      <w:r>
        <w:rPr>
          <w:color w:val="434343"/>
        </w:rPr>
        <w:t xml:space="preserve"> change current veterans’ access to tobacco in any way. Rather, it aids the creation of a stronger and more resilient</w:t>
      </w:r>
      <w:r w:rsidR="00316196">
        <w:rPr>
          <w:color w:val="434343"/>
        </w:rPr>
        <w:t xml:space="preserve"> </w:t>
      </w:r>
      <w:r>
        <w:rPr>
          <w:color w:val="434343"/>
        </w:rPr>
        <w:t xml:space="preserve">American </w:t>
      </w:r>
      <w:r w:rsidR="00316196">
        <w:rPr>
          <w:color w:val="434343"/>
        </w:rPr>
        <w:t>fighting force</w:t>
      </w:r>
      <w:r>
        <w:rPr>
          <w:color w:val="434343"/>
        </w:rPr>
        <w:t xml:space="preserve">. </w:t>
      </w:r>
    </w:p>
    <w:p w14:paraId="00000016" w14:textId="77777777"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safe and effective FDA-approved nicotine (NRT) is available throughout Massachusetts over the counter and is covered by all Massachusetts insurance programs. In addition, the MA quitline gives away free NRT as part of their program. As an outcome of NFG, those who are already addicted to tobacco products will now use safe and freely available FDA-approved nicotine, retaining more money to spend on basic necessities,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5B93E18F" w:rsidR="00700E64" w:rsidRDefault="00D70C68">
      <w:pPr>
        <w:shd w:val="clear" w:color="auto" w:fill="FFFFFF"/>
        <w:rPr>
          <w:color w:val="434343"/>
        </w:rPr>
      </w:pPr>
      <w:r>
        <w:rPr>
          <w:color w:val="434343"/>
          <w:highlight w:val="white"/>
        </w:rPr>
        <w:t xml:space="preserve">NFG prevents addictive products from falling into the hands of those who have never tried nicotine, and doesn't limit access for those who already smoke. While established cigarette smokers may switch to vapor products in an effort to reduce their risk of health complications, young adults and adolescents covered by NFG policies are commonly becoming 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9"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20">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22FAA5FE" w:rsidR="00700E64" w:rsidRDefault="00D70C68">
      <w:pPr>
        <w:shd w:val="clear" w:color="auto" w:fill="FFFFFF"/>
        <w:rPr>
          <w:color w:val="434343"/>
        </w:rPr>
      </w:pPr>
      <w:r>
        <w:rPr>
          <w:color w:val="434343"/>
        </w:rPr>
        <w:t>NFG doesn’t create additional black market sales. In fact, the policy attempts to avoid further black market nicotine, because current users can continue to legally be sold nicotine, and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21">
        <w:r>
          <w:rPr>
            <w:color w:val="434343"/>
          </w:rPr>
          <w:t xml:space="preserve"> </w:t>
        </w:r>
      </w:hyperlink>
      <w:hyperlink r:id="rId22">
        <w:r>
          <w:rPr>
            <w:color w:val="434343"/>
            <w:u w:val="single"/>
          </w:rPr>
          <w:t>no surge in illicit cigarettes</w:t>
        </w:r>
      </w:hyperlink>
      <w:r>
        <w:rPr>
          <w:color w:val="434343"/>
        </w:rPr>
        <w:t xml:space="preserve">. NFG is even safer than menthol bans because it never removes access to nicotine where a demand exists. </w:t>
      </w:r>
      <w:r w:rsidR="0014537A">
        <w:rPr>
          <w:color w:val="434343"/>
        </w:rPr>
        <w:t xml:space="preserve">NFG allows safe, FDA approved nicotine to be sold over the counter in the form of nicotine patches, nicotine gum, and nicotine lozenges. These forms of nicotine have low addictive potential because of the </w:t>
      </w:r>
      <w:r w:rsidR="0014537A">
        <w:rPr>
          <w:color w:val="434343"/>
        </w:rPr>
        <w:lastRenderedPageBreak/>
        <w:t xml:space="preserve">slow onset of their effect. Keeping these slow release forms of nicotine on the market is important so that people who are addicted to tobacco products can continue transitioning to safer, FDA approved products.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58ACF89E" w:rsidR="00700E64" w:rsidRDefault="00D70C68">
      <w:pPr>
        <w:shd w:val="clear" w:color="auto" w:fill="FFFFFF"/>
        <w:rPr>
          <w:color w:val="434343"/>
        </w:rPr>
      </w:pPr>
      <w:r>
        <w:rPr>
          <w:color w:val="434343"/>
        </w:rPr>
        <w:t>NFG is nothing like Prohibition. Prohibition fueled a massive Black Market because it immediately removed access to a substance that</w:t>
      </w:r>
      <w:hyperlink r:id="rId23">
        <w:r>
          <w:rPr>
            <w:color w:val="434343"/>
          </w:rPr>
          <w:t xml:space="preserve"> </w:t>
        </w:r>
      </w:hyperlink>
      <w:hyperlink r:id="rId24">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r w:rsidR="0014537A">
        <w:rPr>
          <w:color w:val="434343"/>
        </w:rPr>
        <w:t xml:space="preserve">In addition, safer FDA approved nicotine will continue to be available. </w:t>
      </w:r>
      <w:r>
        <w:rPr>
          <w:color w:val="434343"/>
        </w:rPr>
        <w:t xml:space="preserve">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use, and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00000025" w14:textId="77777777" w:rsidR="00700E64" w:rsidRDefault="00D70C68">
      <w:pPr>
        <w:shd w:val="clear" w:color="auto" w:fill="FFFFFF"/>
        <w:rPr>
          <w:color w:val="434343"/>
        </w:rPr>
      </w:pPr>
      <w:r>
        <w:rPr>
          <w:color w:val="434343"/>
        </w:rPr>
        <w:t xml:space="preserve"> </w:t>
      </w:r>
    </w:p>
    <w:p w14:paraId="00000026" w14:textId="77777777" w:rsidR="00700E64" w:rsidRDefault="00D70C68">
      <w:pPr>
        <w:shd w:val="clear" w:color="auto" w:fill="FFFFFF"/>
        <w:rPr>
          <w:color w:val="434343"/>
        </w:rPr>
      </w:pPr>
      <w:r>
        <w:rPr>
          <w:b/>
          <w:color w:val="434343"/>
        </w:rPr>
        <w:t>Is NFG too experimental? Is it actually being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innovative, and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676AA1C0"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so as to not depend on selling a harmful and exploitative product. </w:t>
      </w:r>
      <w:r w:rsidR="00A343C1">
        <w:rPr>
          <w:color w:val="434343"/>
        </w:rPr>
        <w:t xml:space="preserve">Since Brookline enacted their policy </w:t>
      </w:r>
      <w:r w:rsidR="009D2EF1">
        <w:rPr>
          <w:color w:val="434343"/>
        </w:rPr>
        <w:t>in 2019</w:t>
      </w:r>
      <w:r w:rsidR="00A343C1">
        <w:rPr>
          <w:color w:val="434343"/>
        </w:rPr>
        <w:t xml:space="preserve">, not a single tobacco retailer has gone out of business.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6533CFD1" w:rsidR="00700E64" w:rsidRDefault="00D70C68">
      <w:pPr>
        <w:shd w:val="clear" w:color="auto" w:fill="FFFFFF"/>
        <w:rPr>
          <w:color w:val="434343"/>
        </w:rPr>
      </w:pPr>
      <w:r>
        <w:rPr>
          <w:color w:val="434343"/>
        </w:rPr>
        <w:lastRenderedPageBreak/>
        <w:t xml:space="preserve">NFG aims to tackle youth nicotine addiction </w:t>
      </w:r>
      <w:r w:rsidR="00564865">
        <w:rPr>
          <w:color w:val="434343"/>
        </w:rPr>
        <w:t xml:space="preserve">first, </w:t>
      </w:r>
      <w:r>
        <w:rPr>
          <w:color w:val="434343"/>
        </w:rPr>
        <w:t>by preventing youth from ever trying nicotine and becoming addicted. 99% of smokers start before they are 26 (</w:t>
      </w:r>
      <w:hyperlink r:id="rId25">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 xml:space="preserve">Over time, youth will be further removed in age from anyone who can be sold nicotine legally and any peers who uses. </w:t>
      </w:r>
      <w:r w:rsidR="001F4244">
        <w:rPr>
          <w:color w:val="434343"/>
        </w:rPr>
        <w:t>The 2024 Surgeon General Report states that e</w:t>
      </w:r>
      <w:r w:rsidR="001F4244">
        <w:t>ndgame efforts to eliminate tobacco-related disease, disability, and death should create opportunities and conditions for all people to live healthy lives that are free from commercial tobacco.</w:t>
      </w:r>
      <w:r w:rsidR="001F4244">
        <w:rPr>
          <w:rStyle w:val="FootnoteReference"/>
        </w:rPr>
        <w:footnoteReference w:id="1"/>
      </w:r>
    </w:p>
    <w:p w14:paraId="0000002E" w14:textId="77777777" w:rsidR="00700E64" w:rsidRDefault="00D70C68">
      <w:pPr>
        <w:shd w:val="clear" w:color="auto" w:fill="FFFFFF"/>
        <w:rPr>
          <w:color w:val="434343"/>
        </w:rPr>
      </w:pPr>
      <w:r>
        <w:rPr>
          <w:color w:val="434343"/>
        </w:rPr>
        <w:t xml:space="preserve"> </w:t>
      </w:r>
    </w:p>
    <w:p w14:paraId="0000002F" w14:textId="77777777" w:rsidR="00700E64" w:rsidRDefault="00D70C68">
      <w:pPr>
        <w:shd w:val="clear" w:color="auto" w:fill="FFFFFF"/>
        <w:rPr>
          <w:color w:val="434343"/>
        </w:rPr>
      </w:pPr>
      <w:r>
        <w:rPr>
          <w:color w:val="434343"/>
        </w:rPr>
        <w:t xml:space="preserve"> </w:t>
      </w:r>
    </w:p>
    <w:p w14:paraId="00000030" w14:textId="77777777" w:rsidR="00700E64" w:rsidRDefault="00D70C68">
      <w:pPr>
        <w:shd w:val="clear" w:color="auto" w:fill="FFFFFF"/>
        <w:rPr>
          <w:color w:val="434343"/>
        </w:rPr>
      </w:pPr>
      <w:r>
        <w:rPr>
          <w:color w:val="434343"/>
        </w:rPr>
        <w:t xml:space="preserve"> </w:t>
      </w:r>
    </w:p>
    <w:p w14:paraId="00000031" w14:textId="263B05D9" w:rsidR="00700E64" w:rsidRDefault="00D70C68">
      <w:pPr>
        <w:shd w:val="clear" w:color="auto" w:fill="FFFFFF"/>
        <w:rPr>
          <w:color w:val="434343"/>
        </w:rPr>
      </w:pPr>
      <w:r>
        <w:rPr>
          <w:i/>
          <w:color w:val="434343"/>
        </w:rPr>
        <w:t>Citation</w:t>
      </w:r>
      <w:r w:rsidR="001F4244">
        <w:rPr>
          <w:i/>
          <w:color w:val="434343"/>
        </w:rPr>
        <w:t xml:space="preserve"> for this NFG FAQ</w:t>
      </w:r>
      <w:r>
        <w:rPr>
          <w:i/>
          <w:color w:val="434343"/>
        </w:rPr>
        <w:t>: Savage T., Ishak A., Silbaugh K., Chadwick G., Hartmann L., Gottlieb M., Buzby M., Winickoff J</w:t>
      </w:r>
      <w:r w:rsidR="001F4244">
        <w:rPr>
          <w:i/>
          <w:color w:val="434343"/>
        </w:rPr>
        <w:t>P</w:t>
      </w:r>
      <w:r>
        <w:rPr>
          <w:i/>
          <w:color w:val="434343"/>
        </w:rPr>
        <w:t xml:space="preserve">. Nicotine-Free Generation Frequently Asked Questions and Answers. Version </w:t>
      </w:r>
      <w:r w:rsidR="00316196">
        <w:rPr>
          <w:i/>
          <w:color w:val="434343"/>
        </w:rPr>
        <w:t>1</w:t>
      </w:r>
      <w:r w:rsidR="00B42DEF">
        <w:rPr>
          <w:i/>
          <w:color w:val="434343"/>
        </w:rPr>
        <w:t>130</w:t>
      </w:r>
      <w:r>
        <w:rPr>
          <w:i/>
          <w:color w:val="434343"/>
        </w:rPr>
        <w:t>2024</w:t>
      </w:r>
      <w:r>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sectPr w:rsidR="00700E64">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B2050" w14:textId="77777777" w:rsidR="00D70C68" w:rsidRDefault="00D70C68">
      <w:pPr>
        <w:spacing w:line="240" w:lineRule="auto"/>
      </w:pPr>
      <w:r>
        <w:separator/>
      </w:r>
    </w:p>
  </w:endnote>
  <w:endnote w:type="continuationSeparator" w:id="0">
    <w:p w14:paraId="254A3D31" w14:textId="77777777" w:rsidR="00D70C68" w:rsidRDefault="00D70C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9D33B" w14:textId="77777777" w:rsidR="00D70C68" w:rsidRDefault="00D70C68">
      <w:pPr>
        <w:spacing w:line="240" w:lineRule="auto"/>
      </w:pPr>
      <w:r>
        <w:separator/>
      </w:r>
    </w:p>
  </w:footnote>
  <w:footnote w:type="continuationSeparator" w:id="0">
    <w:p w14:paraId="086F35EA" w14:textId="77777777" w:rsidR="00D70C68" w:rsidRDefault="00D70C68">
      <w:pPr>
        <w:spacing w:line="240" w:lineRule="auto"/>
      </w:pPr>
      <w:r>
        <w:continuationSeparator/>
      </w:r>
    </w:p>
  </w:footnote>
  <w:footnote w:id="1">
    <w:p w14:paraId="0FB86D3B" w14:textId="74913C68" w:rsidR="001F4244" w:rsidRPr="001F4244" w:rsidRDefault="001F4244">
      <w:pPr>
        <w:pStyle w:val="FootnoteText"/>
        <w:rPr>
          <w:lang w:val="en-US"/>
        </w:rPr>
      </w:pPr>
      <w:r>
        <w:rPr>
          <w:rStyle w:val="FootnoteReference"/>
        </w:rPr>
        <w:footnoteRef/>
      </w:r>
      <w:r>
        <w:t xml:space="preserve"> </w:t>
      </w:r>
      <w:r>
        <w:t>U.S. Department of Health and Human Services. Eliminating Tobacco-Related Disease and Death: Addressing Disparities—A Report of the Surgeon General. Atlanta, GA: U.S. Department of Health and Human Services, Centers for Disease Control and Prevention, National Center for Chronic Disease Prevention and Health Promotion, Office on Smoking and Health, 2024.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14537A"/>
    <w:rsid w:val="001F4244"/>
    <w:rsid w:val="00316196"/>
    <w:rsid w:val="00564865"/>
    <w:rsid w:val="00700E64"/>
    <w:rsid w:val="00813222"/>
    <w:rsid w:val="008A6EF1"/>
    <w:rsid w:val="009D2EF1"/>
    <w:rsid w:val="00A343C1"/>
    <w:rsid w:val="00AB568A"/>
    <w:rsid w:val="00B42DEF"/>
    <w:rsid w:val="00D7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F4244"/>
    <w:pPr>
      <w:spacing w:line="240" w:lineRule="auto"/>
    </w:pPr>
    <w:rPr>
      <w:sz w:val="20"/>
      <w:szCs w:val="20"/>
    </w:rPr>
  </w:style>
  <w:style w:type="character" w:customStyle="1" w:styleId="FootnoteTextChar">
    <w:name w:val="Footnote Text Char"/>
    <w:basedOn w:val="DefaultParagraphFont"/>
    <w:link w:val="FootnoteText"/>
    <w:uiPriority w:val="99"/>
    <w:semiHidden/>
    <w:rsid w:val="001F4244"/>
    <w:rPr>
      <w:sz w:val="20"/>
      <w:szCs w:val="20"/>
    </w:rPr>
  </w:style>
  <w:style w:type="character" w:styleId="FootnoteReference">
    <w:name w:val="footnote reference"/>
    <w:basedOn w:val="DefaultParagraphFont"/>
    <w:uiPriority w:val="99"/>
    <w:semiHidden/>
    <w:unhideWhenUsed/>
    <w:rsid w:val="001F42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www.tobaccofreekids.org/problem/toll-us" TargetMode="External"/><Relationship Id="rId18" Type="http://schemas.openxmlformats.org/officeDocument/2006/relationships/hyperlink" Target="https://tobaccocontrol.bmj.com/content/10/1/43"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pubmed.ncbi.nlm.nih.gov/30309981/" TargetMode="External"/><Relationship Id="rId7" Type="http://schemas.openxmlformats.org/officeDocument/2006/relationships/hyperlink" Target="https://www.nejm.org/doi/full/10.1056/NEJMp1314626"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sciencedirect.com/science/article/abs/pii/000293439290623J" TargetMode="External"/><Relationship Id="rId25" Type="http://schemas.openxmlformats.org/officeDocument/2006/relationships/hyperlink" Target="https://www.ncbi.nlm.nih.gov/books/NBK179276/" TargetMode="External"/><Relationship Id="rId2" Type="http://schemas.openxmlformats.org/officeDocument/2006/relationships/styles" Target="styles.xml"/><Relationship Id="rId16" Type="http://schemas.openxmlformats.org/officeDocument/2006/relationships/hyperlink" Target="https://nap.nationalacademies.org/catalog/12632/combating-tobacco-use-in-military-and-veteran-populations" TargetMode="External"/><Relationship Id="rId20" Type="http://schemas.openxmlformats.org/officeDocument/2006/relationships/hyperlink" Target="https://www.lung.org/quit-smoking/smoking-facts/tobacco-use-among-childr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310407/" TargetMode="External"/><Relationship Id="rId24" Type="http://schemas.openxmlformats.org/officeDocument/2006/relationships/hyperlink" Target="https://www.theguardian.com/commentisfree/2016/mar/30/prohibition-google-autocomplete" TargetMode="External"/><Relationship Id="rId5" Type="http://schemas.openxmlformats.org/officeDocument/2006/relationships/footnotes" Target="footnotes.xml"/><Relationship Id="rId15" Type="http://schemas.openxmlformats.org/officeDocument/2006/relationships/hyperlink" Target="https://ash.org/wp-content/uploads/2024/03/Brookline-Judgement-March-8-2024.pdf" TargetMode="External"/><Relationship Id="rId23" Type="http://schemas.openxmlformats.org/officeDocument/2006/relationships/hyperlink" Target="https://www.theguardian.com/commentisfree/2016/mar/30/prohibition-google-autocomplete" TargetMode="External"/><Relationship Id="rId28" Type="http://schemas.openxmlformats.org/officeDocument/2006/relationships/theme" Target="theme/theme1.xml"/><Relationship Id="rId10" Type="http://schemas.openxmlformats.org/officeDocument/2006/relationships/hyperlink" Target="https://www.ncbi.nlm.nih.gov/books/NBK310407/" TargetMode="External"/><Relationship Id="rId19" Type="http://schemas.openxmlformats.org/officeDocument/2006/relationships/hyperlink" Target="https://www.cdc.gov/mmwr/volumes/72/wr/mm7244a1.htm" TargetMode="External"/><Relationship Id="rId4" Type="http://schemas.openxmlformats.org/officeDocument/2006/relationships/webSettings" Target="webSettings.xml"/><Relationship Id="rId9" Type="http://schemas.openxmlformats.org/officeDocument/2006/relationships/hyperlink" Target="https://pubmed.ncbi.nlm.nih.gov/26071428/"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pubmed.ncbi.nlm.nih.gov/3030998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C9B5-C5CD-4F03-81A6-BB566BC04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4</cp:revision>
  <dcterms:created xsi:type="dcterms:W3CDTF">2024-11-30T21:14:00Z</dcterms:created>
  <dcterms:modified xsi:type="dcterms:W3CDTF">2024-11-30T22:39:00Z</dcterms:modified>
</cp:coreProperties>
</file>