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52ABE7B" w14:textId="796E57CD" w:rsidR="002208C3" w:rsidRDefault="00CE786F">
      <w:pPr>
        <w:spacing w:line="240" w:lineRule="auto"/>
        <w:jc w:val="center"/>
      </w:pPr>
      <w:r>
        <w:t>Testimony from:</w:t>
      </w:r>
    </w:p>
    <w:p w14:paraId="03DA6767" w14:textId="3790E943" w:rsidR="002208C3" w:rsidRDefault="004816FA">
      <w:pPr>
        <w:spacing w:line="240" w:lineRule="auto"/>
        <w:jc w:val="center"/>
      </w:pPr>
      <w:r>
        <w:t>Jeffrey S. Smith, Senior Fellow, Integrated Harm Reduction, R Street Institute</w:t>
      </w:r>
    </w:p>
    <w:p w14:paraId="6CBD917D" w14:textId="77777777" w:rsidR="002208C3" w:rsidRDefault="002208C3">
      <w:pPr>
        <w:spacing w:line="240" w:lineRule="auto"/>
        <w:jc w:val="center"/>
      </w:pPr>
    </w:p>
    <w:p w14:paraId="5ACFB28C" w14:textId="2394D013" w:rsidR="008E49ED" w:rsidRDefault="008E49ED" w:rsidP="00335D14">
      <w:pPr>
        <w:spacing w:line="240" w:lineRule="auto"/>
        <w:jc w:val="center"/>
        <w:rPr>
          <w:rFonts w:eastAsia="Times New Roman"/>
          <w:color w:val="222222"/>
          <w:shd w:val="clear" w:color="auto" w:fill="FFFFFF"/>
        </w:rPr>
      </w:pPr>
      <w:r w:rsidRPr="008E49ED">
        <w:rPr>
          <w:rFonts w:eastAsia="Times New Roman"/>
          <w:color w:val="222222"/>
          <w:shd w:val="clear" w:color="auto" w:fill="FFFFFF"/>
        </w:rPr>
        <w:t xml:space="preserve">R Street Testimony in </w:t>
      </w:r>
      <w:r w:rsidR="004545FA">
        <w:rPr>
          <w:rFonts w:eastAsia="Times New Roman"/>
          <w:color w:val="222222"/>
          <w:shd w:val="clear" w:color="auto" w:fill="FFFFFF"/>
        </w:rPr>
        <w:t>O</w:t>
      </w:r>
      <w:r w:rsidR="00813419">
        <w:rPr>
          <w:rFonts w:eastAsia="Times New Roman"/>
          <w:color w:val="222222"/>
          <w:shd w:val="clear" w:color="auto" w:fill="FFFFFF"/>
        </w:rPr>
        <w:t>pposition</w:t>
      </w:r>
      <w:r w:rsidR="0014244F">
        <w:rPr>
          <w:rFonts w:eastAsia="Times New Roman"/>
          <w:color w:val="222222"/>
          <w:shd w:val="clear" w:color="auto" w:fill="FFFFFF"/>
        </w:rPr>
        <w:t xml:space="preserve"> of</w:t>
      </w:r>
      <w:r w:rsidR="00C42CF4">
        <w:rPr>
          <w:rFonts w:eastAsia="Times New Roman"/>
          <w:color w:val="222222"/>
          <w:shd w:val="clear" w:color="auto" w:fill="FFFFFF"/>
        </w:rPr>
        <w:t xml:space="preserve"> the </w:t>
      </w:r>
      <w:r w:rsidR="00773E6E" w:rsidRPr="00773E6E">
        <w:rPr>
          <w:rFonts w:eastAsia="Times New Roman"/>
          <w:color w:val="222222"/>
          <w:shd w:val="clear" w:color="auto" w:fill="FFFFFF"/>
        </w:rPr>
        <w:t>Needham</w:t>
      </w:r>
      <w:r w:rsidR="00481844">
        <w:rPr>
          <w:rFonts w:eastAsia="Times New Roman"/>
          <w:color w:val="222222"/>
          <w:shd w:val="clear" w:color="auto" w:fill="FFFFFF"/>
        </w:rPr>
        <w:t xml:space="preserve"> Board</w:t>
      </w:r>
      <w:r w:rsidR="00481844" w:rsidRPr="00C42CF4">
        <w:rPr>
          <w:rFonts w:eastAsia="Times New Roman"/>
          <w:color w:val="222222"/>
          <w:shd w:val="clear" w:color="auto" w:fill="FFFFFF"/>
        </w:rPr>
        <w:t xml:space="preserve"> </w:t>
      </w:r>
      <w:r w:rsidR="00C42CF4" w:rsidRPr="00C42CF4">
        <w:rPr>
          <w:rFonts w:eastAsia="Times New Roman"/>
          <w:color w:val="222222"/>
          <w:shd w:val="clear" w:color="auto" w:fill="FFFFFF"/>
        </w:rPr>
        <w:t>of Health</w:t>
      </w:r>
      <w:r w:rsidR="00335D14">
        <w:rPr>
          <w:rFonts w:eastAsia="Times New Roman"/>
          <w:color w:val="222222"/>
          <w:shd w:val="clear" w:color="auto" w:fill="FFFFFF"/>
        </w:rPr>
        <w:t xml:space="preserve"> </w:t>
      </w:r>
      <w:r w:rsidR="00C42CF4" w:rsidRPr="00C42CF4">
        <w:rPr>
          <w:rFonts w:eastAsia="Times New Roman"/>
          <w:color w:val="222222"/>
          <w:shd w:val="clear" w:color="auto" w:fill="FFFFFF"/>
        </w:rPr>
        <w:t xml:space="preserve">Regulations Restricting the Sale of </w:t>
      </w:r>
      <w:r w:rsidR="004545FA">
        <w:rPr>
          <w:rFonts w:eastAsia="Times New Roman"/>
          <w:color w:val="222222"/>
          <w:shd w:val="clear" w:color="auto" w:fill="FFFFFF"/>
        </w:rPr>
        <w:t>Reduced Risk Nicotine</w:t>
      </w:r>
      <w:r w:rsidR="00C42CF4" w:rsidRPr="00C42CF4">
        <w:rPr>
          <w:rFonts w:eastAsia="Times New Roman"/>
          <w:color w:val="222222"/>
          <w:shd w:val="clear" w:color="auto" w:fill="FFFFFF"/>
        </w:rPr>
        <w:t xml:space="preserve"> Products</w:t>
      </w:r>
      <w:r w:rsidR="0039700A">
        <w:rPr>
          <w:rFonts w:eastAsia="Times New Roman"/>
          <w:color w:val="222222"/>
          <w:shd w:val="clear" w:color="auto" w:fill="FFFFFF"/>
        </w:rPr>
        <w:t>.</w:t>
      </w:r>
    </w:p>
    <w:p w14:paraId="5064D7EA" w14:textId="77777777" w:rsidR="00335D14" w:rsidRPr="008E49ED" w:rsidRDefault="00335D14" w:rsidP="00335D14">
      <w:pPr>
        <w:spacing w:line="240" w:lineRule="auto"/>
        <w:jc w:val="center"/>
        <w:rPr>
          <w:rFonts w:ascii="Times New Roman" w:eastAsia="Times New Roman" w:hAnsi="Times New Roman" w:cs="Times New Roman"/>
          <w:sz w:val="24"/>
          <w:szCs w:val="24"/>
        </w:rPr>
      </w:pPr>
    </w:p>
    <w:p w14:paraId="6D017F25" w14:textId="1ADFDEC2" w:rsidR="008E49ED" w:rsidRPr="008E49ED" w:rsidRDefault="00A45EB0" w:rsidP="008E49ED">
      <w:pPr>
        <w:spacing w:line="240" w:lineRule="auto"/>
        <w:jc w:val="center"/>
        <w:rPr>
          <w:rFonts w:ascii="Times New Roman" w:eastAsia="Times New Roman" w:hAnsi="Times New Roman" w:cs="Times New Roman"/>
          <w:sz w:val="24"/>
          <w:szCs w:val="24"/>
        </w:rPr>
      </w:pPr>
      <w:r>
        <w:rPr>
          <w:rFonts w:eastAsia="Times New Roman"/>
          <w:color w:val="000000"/>
        </w:rPr>
        <w:t>December</w:t>
      </w:r>
      <w:r w:rsidR="0039700A">
        <w:rPr>
          <w:rFonts w:eastAsia="Times New Roman"/>
          <w:color w:val="000000"/>
        </w:rPr>
        <w:t xml:space="preserve"> </w:t>
      </w:r>
      <w:r>
        <w:rPr>
          <w:rFonts w:eastAsia="Times New Roman"/>
          <w:color w:val="000000"/>
        </w:rPr>
        <w:t>13</w:t>
      </w:r>
      <w:r w:rsidR="000B74AE" w:rsidRPr="005626DE">
        <w:rPr>
          <w:rFonts w:eastAsia="Times New Roman"/>
          <w:color w:val="000000"/>
          <w:vertAlign w:val="superscript"/>
        </w:rPr>
        <w:t>th</w:t>
      </w:r>
      <w:r w:rsidR="008E49ED">
        <w:rPr>
          <w:rFonts w:eastAsia="Times New Roman"/>
          <w:color w:val="000000"/>
        </w:rPr>
        <w:t>, 2024</w:t>
      </w:r>
    </w:p>
    <w:p w14:paraId="6D77A9EC" w14:textId="77777777" w:rsidR="008E49ED" w:rsidRPr="008E49ED" w:rsidRDefault="008E49ED" w:rsidP="008E49ED">
      <w:pPr>
        <w:spacing w:line="240" w:lineRule="auto"/>
        <w:rPr>
          <w:rFonts w:ascii="Times New Roman" w:eastAsia="Times New Roman" w:hAnsi="Times New Roman" w:cs="Times New Roman"/>
          <w:sz w:val="24"/>
          <w:szCs w:val="24"/>
        </w:rPr>
      </w:pPr>
    </w:p>
    <w:p w14:paraId="22BEA9C3" w14:textId="68873D97" w:rsidR="008E49ED" w:rsidRPr="008E49ED" w:rsidRDefault="00622CA8" w:rsidP="00554ABA">
      <w:pPr>
        <w:spacing w:line="240" w:lineRule="auto"/>
        <w:jc w:val="center"/>
        <w:rPr>
          <w:rFonts w:ascii="Times New Roman" w:eastAsia="Times New Roman" w:hAnsi="Times New Roman" w:cs="Times New Roman"/>
          <w:sz w:val="24"/>
          <w:szCs w:val="24"/>
        </w:rPr>
      </w:pPr>
      <w:r w:rsidRPr="00622CA8">
        <w:rPr>
          <w:rFonts w:eastAsia="Times New Roman"/>
          <w:color w:val="000000"/>
        </w:rPr>
        <w:t>Needham</w:t>
      </w:r>
      <w:r w:rsidR="00335D14">
        <w:rPr>
          <w:rFonts w:eastAsia="Times New Roman"/>
          <w:color w:val="000000"/>
        </w:rPr>
        <w:t>, Massachusetts</w:t>
      </w:r>
      <w:r w:rsidR="00554ABA">
        <w:rPr>
          <w:rFonts w:eastAsia="Times New Roman"/>
          <w:color w:val="000000"/>
        </w:rPr>
        <w:t xml:space="preserve"> - </w:t>
      </w:r>
      <w:r w:rsidR="00554ABA" w:rsidRPr="00554ABA">
        <w:rPr>
          <w:rFonts w:eastAsia="Times New Roman"/>
          <w:color w:val="000000"/>
        </w:rPr>
        <w:t>Board of Health</w:t>
      </w:r>
    </w:p>
    <w:p w14:paraId="07836E64" w14:textId="77777777" w:rsidR="008E49ED" w:rsidRPr="008E49ED" w:rsidRDefault="008E49ED" w:rsidP="008E49ED">
      <w:pPr>
        <w:spacing w:line="240" w:lineRule="auto"/>
        <w:rPr>
          <w:rFonts w:ascii="Times New Roman" w:eastAsia="Times New Roman" w:hAnsi="Times New Roman" w:cs="Times New Roman"/>
          <w:sz w:val="24"/>
          <w:szCs w:val="24"/>
        </w:rPr>
      </w:pPr>
    </w:p>
    <w:p w14:paraId="582EAFEB" w14:textId="0D50D978" w:rsidR="008E49ED" w:rsidRPr="008E49ED" w:rsidRDefault="004F0327" w:rsidP="008E49ED">
      <w:pPr>
        <w:spacing w:line="240" w:lineRule="auto"/>
        <w:rPr>
          <w:rFonts w:ascii="Times New Roman" w:eastAsia="Times New Roman" w:hAnsi="Times New Roman" w:cs="Times New Roman"/>
          <w:sz w:val="24"/>
          <w:szCs w:val="24"/>
        </w:rPr>
      </w:pPr>
      <w:r>
        <w:rPr>
          <w:rFonts w:eastAsia="Times New Roman"/>
          <w:color w:val="000000"/>
        </w:rPr>
        <w:t>Director</w:t>
      </w:r>
      <w:r w:rsidRPr="008E49ED">
        <w:rPr>
          <w:rFonts w:eastAsia="Times New Roman"/>
          <w:color w:val="000000"/>
        </w:rPr>
        <w:t xml:space="preserve"> </w:t>
      </w:r>
      <w:r w:rsidR="0025462D" w:rsidRPr="0025462D">
        <w:rPr>
          <w:rFonts w:eastAsia="Times New Roman"/>
          <w:color w:val="000000"/>
        </w:rPr>
        <w:t>McDonald</w:t>
      </w:r>
      <w:r w:rsidR="0025462D">
        <w:rPr>
          <w:rFonts w:eastAsia="Times New Roman"/>
          <w:color w:val="000000"/>
        </w:rPr>
        <w:t xml:space="preserve"> </w:t>
      </w:r>
      <w:r w:rsidR="008E49ED">
        <w:rPr>
          <w:rFonts w:eastAsia="Times New Roman"/>
          <w:color w:val="000000"/>
        </w:rPr>
        <w:t xml:space="preserve">and members of the </w:t>
      </w:r>
      <w:r w:rsidR="007A2588">
        <w:rPr>
          <w:rFonts w:eastAsia="Times New Roman"/>
          <w:color w:val="000000"/>
        </w:rPr>
        <w:t>board</w:t>
      </w:r>
      <w:r w:rsidR="008E49ED">
        <w:rPr>
          <w:rFonts w:eastAsia="Times New Roman"/>
          <w:color w:val="000000"/>
        </w:rPr>
        <w:t>,</w:t>
      </w:r>
    </w:p>
    <w:p w14:paraId="121FB00D" w14:textId="77777777" w:rsidR="008E49ED" w:rsidRPr="008E49ED" w:rsidRDefault="008E49ED" w:rsidP="008E49ED">
      <w:pPr>
        <w:spacing w:line="240" w:lineRule="auto"/>
        <w:rPr>
          <w:rFonts w:ascii="Times New Roman" w:eastAsia="Times New Roman" w:hAnsi="Times New Roman" w:cs="Times New Roman"/>
          <w:sz w:val="24"/>
          <w:szCs w:val="24"/>
        </w:rPr>
      </w:pPr>
    </w:p>
    <w:p w14:paraId="14DD3DD6" w14:textId="6662890D" w:rsidR="00B46185" w:rsidRDefault="00CE786F" w:rsidP="00B24F4F">
      <w:pPr>
        <w:spacing w:line="240" w:lineRule="auto"/>
      </w:pPr>
      <w:r>
        <w:t xml:space="preserve">My name is </w:t>
      </w:r>
      <w:r w:rsidR="008555F5">
        <w:t>Jeff Smith</w:t>
      </w:r>
      <w:r>
        <w:t xml:space="preserve">, and I am </w:t>
      </w:r>
      <w:r w:rsidR="008555F5">
        <w:t>a</w:t>
      </w:r>
      <w:r>
        <w:t xml:space="preserve"> senior </w:t>
      </w:r>
      <w:r w:rsidR="008555F5">
        <w:t>fellow</w:t>
      </w:r>
      <w:r>
        <w:t xml:space="preserve"> o</w:t>
      </w:r>
      <w:r w:rsidR="00E737DF">
        <w:t>n the Integrated Harm Reduction team at</w:t>
      </w:r>
      <w:r>
        <w:t xml:space="preserve"> the R Street Institute. The R Street Institute is a nonprofit, nonpartisan public policy research organization. Our mission is to engage in policy research and outreach to promote free markets and limited, effective government in many areas. Our efforts to promote tobacco harm reduction are why we a</w:t>
      </w:r>
      <w:r w:rsidR="00D30D45">
        <w:t>r</w:t>
      </w:r>
      <w:r>
        <w:t>e particular</w:t>
      </w:r>
      <w:r w:rsidR="00D30D45">
        <w:t>ly</w:t>
      </w:r>
      <w:r>
        <w:t xml:space="preserve"> interest</w:t>
      </w:r>
      <w:r w:rsidR="00D30D45">
        <w:t>ed</w:t>
      </w:r>
      <w:r>
        <w:t xml:space="preserve"> in </w:t>
      </w:r>
      <w:r w:rsidR="00EB305C">
        <w:t>this proposed</w:t>
      </w:r>
      <w:r w:rsidR="00625098">
        <w:t xml:space="preserve"> regulation</w:t>
      </w:r>
      <w:r w:rsidR="00335D14">
        <w:t xml:space="preserve"> before the </w:t>
      </w:r>
      <w:r w:rsidR="00622CA8" w:rsidRPr="00622CA8">
        <w:rPr>
          <w:rFonts w:eastAsia="Times New Roman"/>
          <w:color w:val="000000"/>
        </w:rPr>
        <w:t>Needham</w:t>
      </w:r>
      <w:r w:rsidR="00622CA8">
        <w:rPr>
          <w:rFonts w:eastAsia="Times New Roman"/>
          <w:color w:val="000000"/>
        </w:rPr>
        <w:t xml:space="preserve"> </w:t>
      </w:r>
      <w:r w:rsidR="0006771C">
        <w:rPr>
          <w:rFonts w:eastAsia="Times New Roman"/>
          <w:color w:val="000000"/>
        </w:rPr>
        <w:t>Board</w:t>
      </w:r>
      <w:r w:rsidR="0006771C">
        <w:t xml:space="preserve"> </w:t>
      </w:r>
      <w:r w:rsidR="00335D14">
        <w:t>of Health</w:t>
      </w:r>
      <w:r>
        <w:t xml:space="preserve">. </w:t>
      </w:r>
    </w:p>
    <w:p w14:paraId="2DA928AD" w14:textId="77777777" w:rsidR="00B46185" w:rsidRDefault="00B46185" w:rsidP="00B24F4F">
      <w:pPr>
        <w:spacing w:line="240" w:lineRule="auto"/>
      </w:pPr>
    </w:p>
    <w:p w14:paraId="272C9EE6" w14:textId="1FE232F0" w:rsidR="00C30987" w:rsidRDefault="00CE786F" w:rsidP="00B24F4F">
      <w:pPr>
        <w:spacing w:line="240" w:lineRule="auto"/>
        <w:rPr>
          <w:rFonts w:asciiTheme="majorHAnsi" w:hAnsiTheme="majorHAnsi" w:cstheme="majorHAnsi"/>
        </w:rPr>
      </w:pPr>
      <w:r w:rsidRPr="00E43B1B">
        <w:rPr>
          <w:rFonts w:asciiTheme="majorHAnsi" w:hAnsiTheme="majorHAnsi" w:cstheme="majorHAnsi"/>
        </w:rPr>
        <w:t xml:space="preserve">The R Street Institute </w:t>
      </w:r>
      <w:r w:rsidR="00C30987" w:rsidRPr="00E43B1B">
        <w:rPr>
          <w:rFonts w:asciiTheme="majorHAnsi" w:hAnsiTheme="majorHAnsi" w:cstheme="majorHAnsi"/>
        </w:rPr>
        <w:t xml:space="preserve">has been a staunch advocate for </w:t>
      </w:r>
      <w:r w:rsidR="00B46185">
        <w:rPr>
          <w:rFonts w:asciiTheme="majorHAnsi" w:hAnsiTheme="majorHAnsi" w:cstheme="majorHAnsi"/>
        </w:rPr>
        <w:t>restricting</w:t>
      </w:r>
      <w:r w:rsidR="00B46185" w:rsidRPr="00E43B1B">
        <w:rPr>
          <w:rFonts w:asciiTheme="majorHAnsi" w:hAnsiTheme="majorHAnsi" w:cstheme="majorHAnsi"/>
        </w:rPr>
        <w:t xml:space="preserve"> </w:t>
      </w:r>
      <w:r w:rsidR="00C30987" w:rsidRPr="00E43B1B">
        <w:rPr>
          <w:rFonts w:asciiTheme="majorHAnsi" w:hAnsiTheme="majorHAnsi" w:cstheme="majorHAnsi"/>
        </w:rPr>
        <w:t>the sale of nicotine-related products to those who are 21 years of age and older</w:t>
      </w:r>
      <w:r w:rsidR="00B46185">
        <w:rPr>
          <w:rFonts w:asciiTheme="majorHAnsi" w:hAnsiTheme="majorHAnsi" w:cstheme="majorHAnsi"/>
        </w:rPr>
        <w:t xml:space="preserve">, and </w:t>
      </w:r>
      <w:r w:rsidR="00C30987">
        <w:rPr>
          <w:rFonts w:asciiTheme="majorHAnsi" w:hAnsiTheme="majorHAnsi" w:cstheme="majorHAnsi"/>
        </w:rPr>
        <w:t>support</w:t>
      </w:r>
      <w:r w:rsidR="00B46185">
        <w:rPr>
          <w:rFonts w:asciiTheme="majorHAnsi" w:hAnsiTheme="majorHAnsi" w:cstheme="majorHAnsi"/>
        </w:rPr>
        <w:t>ed</w:t>
      </w:r>
      <w:r w:rsidR="00C30987">
        <w:rPr>
          <w:rFonts w:asciiTheme="majorHAnsi" w:hAnsiTheme="majorHAnsi" w:cstheme="majorHAnsi"/>
        </w:rPr>
        <w:t xml:space="preserve"> national efforts in 2019 to raise the age to 21 to purchase such products. In parallel, R Street is also concerned with</w:t>
      </w:r>
      <w:r w:rsidRPr="00E43B1B">
        <w:rPr>
          <w:rFonts w:asciiTheme="majorHAnsi" w:hAnsiTheme="majorHAnsi" w:cstheme="majorHAnsi"/>
        </w:rPr>
        <w:t xml:space="preserve"> the health-related consequences of inhaling combustible cigarette</w:t>
      </w:r>
      <w:r w:rsidR="00C0460A">
        <w:rPr>
          <w:rFonts w:asciiTheme="majorHAnsi" w:hAnsiTheme="majorHAnsi" w:cstheme="majorHAnsi"/>
        </w:rPr>
        <w:t xml:space="preserve"> smoke</w:t>
      </w:r>
      <w:r w:rsidRPr="00E43B1B">
        <w:rPr>
          <w:rFonts w:asciiTheme="majorHAnsi" w:hAnsiTheme="majorHAnsi" w:cstheme="majorHAnsi"/>
        </w:rPr>
        <w:t xml:space="preserve"> </w:t>
      </w:r>
      <w:r w:rsidR="00C30987">
        <w:rPr>
          <w:rFonts w:asciiTheme="majorHAnsi" w:hAnsiTheme="majorHAnsi" w:cstheme="majorHAnsi"/>
        </w:rPr>
        <w:t>by adult consumers</w:t>
      </w:r>
      <w:r w:rsidRPr="00E43B1B">
        <w:rPr>
          <w:rFonts w:asciiTheme="majorHAnsi" w:hAnsiTheme="majorHAnsi" w:cstheme="majorHAnsi"/>
        </w:rPr>
        <w:t xml:space="preserve">. </w:t>
      </w:r>
      <w:r w:rsidR="00A63C25" w:rsidRPr="00E43B1B">
        <w:rPr>
          <w:rFonts w:asciiTheme="majorHAnsi" w:hAnsiTheme="majorHAnsi" w:cstheme="majorHAnsi"/>
        </w:rPr>
        <w:t xml:space="preserve">We strongly support </w:t>
      </w:r>
      <w:r w:rsidR="00CB73BA" w:rsidRPr="00E43B1B">
        <w:rPr>
          <w:rFonts w:asciiTheme="majorHAnsi" w:hAnsiTheme="majorHAnsi" w:cstheme="majorHAnsi"/>
        </w:rPr>
        <w:t xml:space="preserve">varied </w:t>
      </w:r>
      <w:r w:rsidR="00A63C25" w:rsidRPr="00E43B1B">
        <w:rPr>
          <w:rFonts w:asciiTheme="majorHAnsi" w:hAnsiTheme="majorHAnsi" w:cstheme="majorHAnsi"/>
        </w:rPr>
        <w:t xml:space="preserve">pathways </w:t>
      </w:r>
      <w:r w:rsidR="004A5CAF" w:rsidRPr="00E43B1B">
        <w:rPr>
          <w:rFonts w:asciiTheme="majorHAnsi" w:hAnsiTheme="majorHAnsi" w:cstheme="majorHAnsi"/>
        </w:rPr>
        <w:t xml:space="preserve">for </w:t>
      </w:r>
      <w:r w:rsidR="00CB73BA" w:rsidRPr="00E43B1B">
        <w:rPr>
          <w:rFonts w:asciiTheme="majorHAnsi" w:hAnsiTheme="majorHAnsi" w:cstheme="majorHAnsi"/>
        </w:rPr>
        <w:t xml:space="preserve">quitting </w:t>
      </w:r>
      <w:r w:rsidR="004A5CAF" w:rsidRPr="00E43B1B">
        <w:rPr>
          <w:rFonts w:asciiTheme="majorHAnsi" w:hAnsiTheme="majorHAnsi" w:cstheme="majorHAnsi"/>
        </w:rPr>
        <w:t>smoking</w:t>
      </w:r>
      <w:r w:rsidR="00625098">
        <w:rPr>
          <w:rFonts w:asciiTheme="majorHAnsi" w:hAnsiTheme="majorHAnsi" w:cstheme="majorHAnsi"/>
        </w:rPr>
        <w:t>,</w:t>
      </w:r>
      <w:r w:rsidR="004A5CAF" w:rsidRPr="00E43B1B">
        <w:rPr>
          <w:rFonts w:asciiTheme="majorHAnsi" w:hAnsiTheme="majorHAnsi" w:cstheme="majorHAnsi"/>
        </w:rPr>
        <w:t xml:space="preserve"> which include access to a wide array of alternative</w:t>
      </w:r>
      <w:r w:rsidR="001B5916" w:rsidRPr="00E43B1B">
        <w:rPr>
          <w:rFonts w:asciiTheme="majorHAnsi" w:hAnsiTheme="majorHAnsi" w:cstheme="majorHAnsi"/>
        </w:rPr>
        <w:t>, reduced-risk</w:t>
      </w:r>
      <w:r w:rsidR="004A5CAF" w:rsidRPr="00E43B1B">
        <w:rPr>
          <w:rFonts w:asciiTheme="majorHAnsi" w:hAnsiTheme="majorHAnsi" w:cstheme="majorHAnsi"/>
        </w:rPr>
        <w:t xml:space="preserve"> nicotine products</w:t>
      </w:r>
      <w:r w:rsidR="00625098">
        <w:rPr>
          <w:rFonts w:asciiTheme="majorHAnsi" w:hAnsiTheme="majorHAnsi" w:cstheme="majorHAnsi"/>
        </w:rPr>
        <w:t>,</w:t>
      </w:r>
      <w:r w:rsidR="004A5CAF" w:rsidRPr="00E43B1B">
        <w:rPr>
          <w:rFonts w:asciiTheme="majorHAnsi" w:hAnsiTheme="majorHAnsi" w:cstheme="majorHAnsi"/>
        </w:rPr>
        <w:t xml:space="preserve"> </w:t>
      </w:r>
      <w:r w:rsidR="00140667">
        <w:rPr>
          <w:rFonts w:asciiTheme="majorHAnsi" w:hAnsiTheme="majorHAnsi" w:cstheme="majorHAnsi"/>
        </w:rPr>
        <w:t xml:space="preserve">including </w:t>
      </w:r>
      <w:r w:rsidR="004A5CAF" w:rsidRPr="00E43B1B">
        <w:rPr>
          <w:rFonts w:asciiTheme="majorHAnsi" w:hAnsiTheme="majorHAnsi" w:cstheme="majorHAnsi"/>
        </w:rPr>
        <w:t>Electronic Nicotine Delivery Systems (ENDS), Heated Tobacco Systems (</w:t>
      </w:r>
      <w:proofErr w:type="spellStart"/>
      <w:r w:rsidR="004A5CAF" w:rsidRPr="00E43B1B">
        <w:rPr>
          <w:rFonts w:asciiTheme="majorHAnsi" w:hAnsiTheme="majorHAnsi" w:cstheme="majorHAnsi"/>
        </w:rPr>
        <w:t>HnB</w:t>
      </w:r>
      <w:proofErr w:type="spellEnd"/>
      <w:r w:rsidR="004A5CAF" w:rsidRPr="00E43B1B">
        <w:rPr>
          <w:rFonts w:asciiTheme="majorHAnsi" w:hAnsiTheme="majorHAnsi" w:cstheme="majorHAnsi"/>
        </w:rPr>
        <w:t xml:space="preserve">), and </w:t>
      </w:r>
      <w:r w:rsidR="00BB612A" w:rsidRPr="00E43B1B">
        <w:rPr>
          <w:rFonts w:asciiTheme="majorHAnsi" w:hAnsiTheme="majorHAnsi" w:cstheme="majorHAnsi"/>
        </w:rPr>
        <w:t>Oral Tobacco and Nicotine Products (Snus</w:t>
      </w:r>
      <w:r w:rsidR="00454C64">
        <w:rPr>
          <w:rFonts w:asciiTheme="majorHAnsi" w:hAnsiTheme="majorHAnsi" w:cstheme="majorHAnsi"/>
        </w:rPr>
        <w:t xml:space="preserve"> and Nicotine Pouches</w:t>
      </w:r>
      <w:r w:rsidR="00BB612A" w:rsidRPr="00E43B1B">
        <w:rPr>
          <w:rFonts w:asciiTheme="majorHAnsi" w:hAnsiTheme="majorHAnsi" w:cstheme="majorHAnsi"/>
        </w:rPr>
        <w:t>)</w:t>
      </w:r>
      <w:r w:rsidR="00CB73BA" w:rsidRPr="00E43B1B">
        <w:rPr>
          <w:rFonts w:asciiTheme="majorHAnsi" w:hAnsiTheme="majorHAnsi" w:cstheme="majorHAnsi"/>
        </w:rPr>
        <w:t xml:space="preserve">. </w:t>
      </w:r>
    </w:p>
    <w:p w14:paraId="10432CF7" w14:textId="445318CD" w:rsidR="007A33D2" w:rsidRDefault="00C30987" w:rsidP="00E43B1B">
      <w:pPr>
        <w:pStyle w:val="NormalWeb"/>
        <w:spacing w:before="240" w:beforeAutospacing="0" w:after="240" w:afterAutospacing="0"/>
        <w:rPr>
          <w:rFonts w:asciiTheme="majorHAnsi" w:hAnsiTheme="majorHAnsi" w:cstheme="majorHAnsi"/>
          <w:sz w:val="22"/>
          <w:szCs w:val="22"/>
        </w:rPr>
      </w:pPr>
      <w:r>
        <w:rPr>
          <w:rFonts w:asciiTheme="majorHAnsi" w:hAnsiTheme="majorHAnsi" w:cstheme="majorHAnsi"/>
          <w:sz w:val="22"/>
          <w:szCs w:val="22"/>
        </w:rPr>
        <w:t>The</w:t>
      </w:r>
      <w:r w:rsidR="00A2509B">
        <w:rPr>
          <w:rFonts w:asciiTheme="majorHAnsi" w:hAnsiTheme="majorHAnsi" w:cstheme="majorHAnsi"/>
          <w:sz w:val="22"/>
          <w:szCs w:val="22"/>
        </w:rPr>
        <w:t xml:space="preserve"> proposed regulation</w:t>
      </w:r>
      <w:r>
        <w:rPr>
          <w:rFonts w:asciiTheme="majorHAnsi" w:hAnsiTheme="majorHAnsi" w:cstheme="majorHAnsi"/>
          <w:sz w:val="22"/>
          <w:szCs w:val="22"/>
        </w:rPr>
        <w:t>s</w:t>
      </w:r>
      <w:r w:rsidR="00A2509B">
        <w:rPr>
          <w:rFonts w:asciiTheme="majorHAnsi" w:hAnsiTheme="majorHAnsi" w:cstheme="majorHAnsi"/>
          <w:sz w:val="22"/>
          <w:szCs w:val="22"/>
        </w:rPr>
        <w:t xml:space="preserve"> </w:t>
      </w:r>
      <w:r w:rsidR="00C0585A">
        <w:rPr>
          <w:rFonts w:asciiTheme="majorHAnsi" w:hAnsiTheme="majorHAnsi" w:cstheme="majorHAnsi"/>
          <w:sz w:val="22"/>
          <w:szCs w:val="22"/>
        </w:rPr>
        <w:t xml:space="preserve">aim to </w:t>
      </w:r>
      <w:r>
        <w:rPr>
          <w:rFonts w:asciiTheme="majorHAnsi" w:hAnsiTheme="majorHAnsi" w:cstheme="majorHAnsi"/>
          <w:sz w:val="22"/>
          <w:szCs w:val="22"/>
        </w:rPr>
        <w:t xml:space="preserve">further </w:t>
      </w:r>
      <w:r w:rsidR="00C0585A">
        <w:rPr>
          <w:rFonts w:asciiTheme="majorHAnsi" w:hAnsiTheme="majorHAnsi" w:cstheme="majorHAnsi"/>
          <w:sz w:val="22"/>
          <w:szCs w:val="22"/>
        </w:rPr>
        <w:t xml:space="preserve">reduce youth access </w:t>
      </w:r>
      <w:r w:rsidR="00C10D10">
        <w:rPr>
          <w:rFonts w:asciiTheme="majorHAnsi" w:hAnsiTheme="majorHAnsi" w:cstheme="majorHAnsi"/>
          <w:sz w:val="22"/>
          <w:szCs w:val="22"/>
        </w:rPr>
        <w:t xml:space="preserve">by </w:t>
      </w:r>
      <w:r w:rsidR="00F00E93">
        <w:rPr>
          <w:rFonts w:asciiTheme="majorHAnsi" w:hAnsiTheme="majorHAnsi" w:cstheme="majorHAnsi"/>
          <w:sz w:val="22"/>
          <w:szCs w:val="22"/>
        </w:rPr>
        <w:t xml:space="preserve">banning the </w:t>
      </w:r>
      <w:r w:rsidR="00C10D10">
        <w:rPr>
          <w:rFonts w:asciiTheme="majorHAnsi" w:hAnsiTheme="majorHAnsi" w:cstheme="majorHAnsi"/>
          <w:sz w:val="22"/>
          <w:szCs w:val="22"/>
        </w:rPr>
        <w:t>sale</w:t>
      </w:r>
      <w:r w:rsidR="00F00E93">
        <w:rPr>
          <w:rFonts w:asciiTheme="majorHAnsi" w:hAnsiTheme="majorHAnsi" w:cstheme="majorHAnsi"/>
          <w:sz w:val="22"/>
          <w:szCs w:val="22"/>
        </w:rPr>
        <w:t>s</w:t>
      </w:r>
      <w:r w:rsidR="00C10D10">
        <w:rPr>
          <w:rFonts w:asciiTheme="majorHAnsi" w:hAnsiTheme="majorHAnsi" w:cstheme="majorHAnsi"/>
          <w:sz w:val="22"/>
          <w:szCs w:val="22"/>
        </w:rPr>
        <w:t xml:space="preserve"> of </w:t>
      </w:r>
      <w:r>
        <w:rPr>
          <w:rFonts w:asciiTheme="majorHAnsi" w:hAnsiTheme="majorHAnsi" w:cstheme="majorHAnsi"/>
          <w:sz w:val="22"/>
          <w:szCs w:val="22"/>
        </w:rPr>
        <w:t>nicotine pouches</w:t>
      </w:r>
      <w:r w:rsidR="00C10D10">
        <w:rPr>
          <w:rFonts w:asciiTheme="majorHAnsi" w:hAnsiTheme="majorHAnsi" w:cstheme="majorHAnsi"/>
          <w:sz w:val="22"/>
          <w:szCs w:val="22"/>
        </w:rPr>
        <w:t xml:space="preserve"> </w:t>
      </w:r>
      <w:r w:rsidR="006A6CF9">
        <w:rPr>
          <w:rFonts w:asciiTheme="majorHAnsi" w:hAnsiTheme="majorHAnsi" w:cstheme="majorHAnsi"/>
          <w:sz w:val="22"/>
          <w:szCs w:val="22"/>
        </w:rPr>
        <w:t xml:space="preserve">unless purchased at adult-only </w:t>
      </w:r>
      <w:r w:rsidR="004F4E8C">
        <w:rPr>
          <w:rFonts w:asciiTheme="majorHAnsi" w:hAnsiTheme="majorHAnsi" w:cstheme="majorHAnsi"/>
          <w:sz w:val="22"/>
          <w:szCs w:val="22"/>
        </w:rPr>
        <w:t xml:space="preserve">stores. </w:t>
      </w:r>
      <w:r w:rsidR="00B416AA" w:rsidRPr="00A2509B">
        <w:rPr>
          <w:rFonts w:asciiTheme="majorHAnsi" w:hAnsiTheme="majorHAnsi" w:cstheme="majorHAnsi"/>
          <w:sz w:val="22"/>
          <w:szCs w:val="22"/>
        </w:rPr>
        <w:t xml:space="preserve">While RSI applauds the </w:t>
      </w:r>
      <w:r w:rsidR="00B416AA">
        <w:rPr>
          <w:rFonts w:asciiTheme="majorHAnsi" w:hAnsiTheme="majorHAnsi" w:cstheme="majorHAnsi"/>
          <w:sz w:val="22"/>
          <w:szCs w:val="22"/>
        </w:rPr>
        <w:t>Board</w:t>
      </w:r>
      <w:r w:rsidR="00B416AA" w:rsidRPr="00A2509B">
        <w:rPr>
          <w:rFonts w:asciiTheme="majorHAnsi" w:hAnsiTheme="majorHAnsi" w:cstheme="majorHAnsi"/>
          <w:sz w:val="22"/>
          <w:szCs w:val="22"/>
        </w:rPr>
        <w:t xml:space="preserve">’s goal of preventing youth use of </w:t>
      </w:r>
      <w:r>
        <w:rPr>
          <w:rFonts w:asciiTheme="majorHAnsi" w:hAnsiTheme="majorHAnsi" w:cstheme="majorHAnsi"/>
          <w:sz w:val="22"/>
          <w:szCs w:val="22"/>
        </w:rPr>
        <w:t>such</w:t>
      </w:r>
      <w:r w:rsidR="00B416AA" w:rsidRPr="00A2509B">
        <w:rPr>
          <w:rFonts w:asciiTheme="majorHAnsi" w:hAnsiTheme="majorHAnsi" w:cstheme="majorHAnsi"/>
          <w:sz w:val="22"/>
          <w:szCs w:val="22"/>
        </w:rPr>
        <w:t xml:space="preserve"> products, we are concerned that </w:t>
      </w:r>
      <w:r>
        <w:rPr>
          <w:rFonts w:asciiTheme="majorHAnsi" w:hAnsiTheme="majorHAnsi" w:cstheme="majorHAnsi"/>
          <w:sz w:val="22"/>
          <w:szCs w:val="22"/>
        </w:rPr>
        <w:t>restricting</w:t>
      </w:r>
      <w:r w:rsidRPr="00A2509B">
        <w:rPr>
          <w:rFonts w:asciiTheme="majorHAnsi" w:hAnsiTheme="majorHAnsi" w:cstheme="majorHAnsi"/>
          <w:sz w:val="22"/>
          <w:szCs w:val="22"/>
        </w:rPr>
        <w:t xml:space="preserve"> </w:t>
      </w:r>
      <w:r w:rsidR="00B416AA" w:rsidRPr="00A2509B">
        <w:rPr>
          <w:rFonts w:asciiTheme="majorHAnsi" w:hAnsiTheme="majorHAnsi" w:cstheme="majorHAnsi"/>
          <w:sz w:val="22"/>
          <w:szCs w:val="22"/>
        </w:rPr>
        <w:t xml:space="preserve">sales of </w:t>
      </w:r>
      <w:r>
        <w:rPr>
          <w:rFonts w:asciiTheme="majorHAnsi" w:hAnsiTheme="majorHAnsi" w:cstheme="majorHAnsi"/>
          <w:sz w:val="22"/>
          <w:szCs w:val="22"/>
        </w:rPr>
        <w:t xml:space="preserve">these established </w:t>
      </w:r>
      <w:r w:rsidR="00D44347">
        <w:rPr>
          <w:rFonts w:asciiTheme="majorHAnsi" w:hAnsiTheme="majorHAnsi" w:cstheme="majorHAnsi"/>
          <w:sz w:val="22"/>
          <w:szCs w:val="22"/>
        </w:rPr>
        <w:t>reduced-risk</w:t>
      </w:r>
      <w:r w:rsidR="00B416AA" w:rsidRPr="00A2509B">
        <w:rPr>
          <w:rFonts w:asciiTheme="majorHAnsi" w:hAnsiTheme="majorHAnsi" w:cstheme="majorHAnsi"/>
          <w:sz w:val="22"/>
          <w:szCs w:val="22"/>
        </w:rPr>
        <w:t xml:space="preserve"> products will do little to protect young people while unintentionally harming adult smokers and</w:t>
      </w:r>
      <w:r>
        <w:rPr>
          <w:rFonts w:asciiTheme="majorHAnsi" w:hAnsiTheme="majorHAnsi" w:cstheme="majorHAnsi"/>
          <w:sz w:val="22"/>
          <w:szCs w:val="22"/>
        </w:rPr>
        <w:t xml:space="preserve">, with them, the health of the </w:t>
      </w:r>
      <w:r w:rsidR="001E786A" w:rsidRPr="001E786A">
        <w:rPr>
          <w:rFonts w:asciiTheme="majorHAnsi" w:hAnsiTheme="majorHAnsi" w:cstheme="majorHAnsi"/>
          <w:sz w:val="22"/>
          <w:szCs w:val="22"/>
        </w:rPr>
        <w:t>Needham</w:t>
      </w:r>
      <w:r w:rsidR="0006771C">
        <w:rPr>
          <w:rFonts w:asciiTheme="majorHAnsi" w:hAnsiTheme="majorHAnsi" w:cstheme="majorHAnsi"/>
          <w:sz w:val="22"/>
          <w:szCs w:val="22"/>
        </w:rPr>
        <w:t xml:space="preserve"> community</w:t>
      </w:r>
      <w:r w:rsidR="00B416AA" w:rsidRPr="00A2509B">
        <w:rPr>
          <w:rFonts w:asciiTheme="majorHAnsi" w:hAnsiTheme="majorHAnsi" w:cstheme="majorHAnsi"/>
          <w:sz w:val="22"/>
          <w:szCs w:val="22"/>
        </w:rPr>
        <w:t>.</w:t>
      </w:r>
      <w:r w:rsidR="008F730F">
        <w:rPr>
          <w:rFonts w:asciiTheme="majorHAnsi" w:hAnsiTheme="majorHAnsi" w:cstheme="majorHAnsi"/>
          <w:sz w:val="22"/>
          <w:szCs w:val="22"/>
        </w:rPr>
        <w:t xml:space="preserve"> </w:t>
      </w:r>
      <w:r w:rsidR="004F4E8C">
        <w:rPr>
          <w:rFonts w:asciiTheme="majorHAnsi" w:hAnsiTheme="majorHAnsi" w:cstheme="majorHAnsi"/>
          <w:sz w:val="22"/>
          <w:szCs w:val="22"/>
        </w:rPr>
        <w:t>While this seems like a reasonable</w:t>
      </w:r>
      <w:r w:rsidR="00B416AA">
        <w:rPr>
          <w:rFonts w:asciiTheme="majorHAnsi" w:hAnsiTheme="majorHAnsi" w:cstheme="majorHAnsi"/>
          <w:sz w:val="22"/>
          <w:szCs w:val="22"/>
        </w:rPr>
        <w:t xml:space="preserve"> strategy to limit youth access</w:t>
      </w:r>
      <w:r w:rsidR="00B24F4F">
        <w:rPr>
          <w:rFonts w:asciiTheme="majorHAnsi" w:hAnsiTheme="majorHAnsi" w:cstheme="majorHAnsi"/>
          <w:sz w:val="22"/>
          <w:szCs w:val="22"/>
        </w:rPr>
        <w:t xml:space="preserve"> at first glance</w:t>
      </w:r>
      <w:r w:rsidR="00C70426">
        <w:rPr>
          <w:rFonts w:asciiTheme="majorHAnsi" w:hAnsiTheme="majorHAnsi" w:cstheme="majorHAnsi"/>
          <w:sz w:val="22"/>
          <w:szCs w:val="22"/>
        </w:rPr>
        <w:t>,</w:t>
      </w:r>
      <w:r w:rsidR="00791746">
        <w:rPr>
          <w:rFonts w:asciiTheme="majorHAnsi" w:hAnsiTheme="majorHAnsi" w:cstheme="majorHAnsi"/>
          <w:sz w:val="22"/>
          <w:szCs w:val="22"/>
        </w:rPr>
        <w:t xml:space="preserve"> these restrictions are misguided for several reasons.</w:t>
      </w:r>
    </w:p>
    <w:p w14:paraId="5691CF09" w14:textId="77777777" w:rsidR="00C32E4D" w:rsidRPr="00200C2C" w:rsidRDefault="00C32E4D" w:rsidP="00C32E4D">
      <w:pPr>
        <w:spacing w:line="240" w:lineRule="auto"/>
      </w:pPr>
      <w:r>
        <w:t xml:space="preserve">Massachusetts’ attempts to curb youth use of tobacco products have been squarely focused on prohibition, namely all flavored products, and taxation through the application of a 75% excise tax on </w:t>
      </w:r>
      <w:r>
        <w:lastRenderedPageBreak/>
        <w:t>ENDS – commonly known as vapes. Inadvertently, increased illicit tobacco was the byproduct of such prohibitions</w:t>
      </w:r>
      <w:r w:rsidRPr="002B3D37">
        <w:t>, as documented in the 2023 Annual Report of the </w:t>
      </w:r>
      <w:r>
        <w:t>Multi-Agency Illegal Tobacco Task Force.</w:t>
      </w:r>
      <w:r>
        <w:rPr>
          <w:rStyle w:val="FootnoteReference"/>
        </w:rPr>
        <w:footnoteReference w:id="1"/>
      </w:r>
    </w:p>
    <w:p w14:paraId="4E881B72" w14:textId="77777777" w:rsidR="00C32E4D" w:rsidRDefault="00C32E4D" w:rsidP="00C70426">
      <w:pPr>
        <w:spacing w:line="240" w:lineRule="auto"/>
        <w:rPr>
          <w:rFonts w:asciiTheme="majorHAnsi" w:hAnsiTheme="majorHAnsi" w:cstheme="majorHAnsi"/>
        </w:rPr>
      </w:pPr>
    </w:p>
    <w:p w14:paraId="171EA13C" w14:textId="77777777" w:rsidR="008569FB" w:rsidRDefault="008569FB" w:rsidP="008569FB">
      <w:pPr>
        <w:spacing w:after="160" w:line="259" w:lineRule="auto"/>
      </w:pPr>
      <w:r w:rsidRPr="00F8033B">
        <w:rPr>
          <w:rFonts w:asciiTheme="majorHAnsi" w:eastAsia="Times New Roman" w:hAnsiTheme="majorHAnsi" w:cstheme="majorHAnsi"/>
          <w:color w:val="000000"/>
        </w:rPr>
        <w:t xml:space="preserve">Oral nicotine products such as Snus and nicotine pouches are useful tools in reducing the harm associated with smoking. </w:t>
      </w:r>
      <w:r>
        <w:t xml:space="preserve">Nicotine pouches are new products that are growing in popularity in adult consumers. Sales/popularity have increased significantly. </w:t>
      </w:r>
      <w:r w:rsidRPr="00480EEE">
        <w:t>In 2021, 29.2% of adults who smoked had ever seen or heard of nicotine pouches, 5.6% had ever tried pouches</w:t>
      </w:r>
      <w:r>
        <w:t>,</w:t>
      </w:r>
      <w:r w:rsidRPr="00480EEE">
        <w:t xml:space="preserve"> and 16.8% reported interest in using pouches in the next </w:t>
      </w:r>
      <w:r>
        <w:t>six</w:t>
      </w:r>
      <w:r w:rsidRPr="00480EEE">
        <w:t xml:space="preserve"> months. </w:t>
      </w:r>
      <w:r>
        <w:t xml:space="preserve">Early research has suggested that nicotine pouches should be as </w:t>
      </w:r>
      <w:r w:rsidRPr="00480EEE">
        <w:t>efficient in reducing withdrawal symptoms and helping smokers reduce or stop combustible tobacco use</w:t>
      </w:r>
      <w:r>
        <w:t xml:space="preserve">, </w:t>
      </w:r>
      <w:r w:rsidRPr="00480EEE">
        <w:t xml:space="preserve">similar to or better than </w:t>
      </w:r>
      <w:r>
        <w:t>nicotine replacement</w:t>
      </w:r>
      <w:r w:rsidRPr="00480EEE">
        <w:t xml:space="preserve"> products</w:t>
      </w:r>
      <w:r>
        <w:t xml:space="preserve"> (patches, gums, lozenges) that are approved by the FDA.</w:t>
      </w:r>
      <w:r>
        <w:rPr>
          <w:rStyle w:val="FootnoteReference"/>
        </w:rPr>
        <w:footnoteReference w:id="2"/>
      </w:r>
      <w:r>
        <w:t xml:space="preserve"> Also, when compared to other oral tobacco/nicotine products</w:t>
      </w:r>
      <w:r w:rsidRPr="00480EEE">
        <w:t xml:space="preserve">, </w:t>
      </w:r>
      <w:r>
        <w:t>nicotine pouches</w:t>
      </w:r>
      <w:r w:rsidRPr="00480EEE">
        <w:t xml:space="preserve"> had lower levels of </w:t>
      </w:r>
      <w:r>
        <w:t>potentially harmful ingredients. They</w:t>
      </w:r>
      <w:r w:rsidRPr="00480EEE">
        <w:t xml:space="preserve"> </w:t>
      </w:r>
      <w:r>
        <w:t xml:space="preserve">presented </w:t>
      </w:r>
      <w:r w:rsidRPr="00480EEE">
        <w:t>no difference</w:t>
      </w:r>
      <w:r>
        <w:t>s in health risks when compared to FDA-approved nicotine replacement products.</w:t>
      </w:r>
      <w:r>
        <w:rPr>
          <w:rStyle w:val="FootnoteReference"/>
        </w:rPr>
        <w:footnoteReference w:id="3"/>
      </w:r>
    </w:p>
    <w:p w14:paraId="2D66BD4E" w14:textId="45B45633" w:rsidR="00C32E4D" w:rsidRDefault="008569FB" w:rsidP="008966DF">
      <w:pPr>
        <w:spacing w:after="160" w:line="259" w:lineRule="auto"/>
        <w:rPr>
          <w:rFonts w:asciiTheme="majorHAnsi" w:hAnsiTheme="majorHAnsi" w:cstheme="majorHAnsi"/>
        </w:rPr>
      </w:pPr>
      <w:r>
        <w:rPr>
          <w:rFonts w:asciiTheme="majorHAnsi" w:eastAsia="Times New Roman" w:hAnsiTheme="majorHAnsi" w:cstheme="majorHAnsi"/>
          <w:color w:val="000000"/>
        </w:rPr>
        <w:t>A</w:t>
      </w:r>
      <w:r w:rsidRPr="00571815">
        <w:rPr>
          <w:rFonts w:asciiTheme="majorHAnsi" w:eastAsia="Times New Roman" w:hAnsiTheme="majorHAnsi" w:cstheme="majorHAnsi"/>
          <w:color w:val="000000"/>
        </w:rPr>
        <w:t>s an example, over the last thirty years, epidemiological evidence has shown that the uptake of snus by people who were smokers has reduced the prevalence of tobacco smoking in Sweden, where the male smoking prevalence is now among the lowest in the world.</w:t>
      </w:r>
      <w:r>
        <w:rPr>
          <w:rStyle w:val="FootnoteReference"/>
          <w:rFonts w:asciiTheme="majorHAnsi" w:eastAsia="Times New Roman" w:hAnsiTheme="majorHAnsi" w:cstheme="majorHAnsi"/>
          <w:color w:val="000000"/>
        </w:rPr>
        <w:footnoteReference w:id="4"/>
      </w:r>
      <w:r w:rsidRPr="00571815">
        <w:rPr>
          <w:rFonts w:asciiTheme="majorHAnsi" w:eastAsia="Times New Roman" w:hAnsiTheme="majorHAnsi" w:cstheme="majorHAnsi"/>
          <w:color w:val="000000"/>
        </w:rPr>
        <w:t> Snus use has also substantially reduced deaths from tobacco-related cancers in Swedish men and has done so without increasing the prevalence of cigarette smoking among young people.</w:t>
      </w:r>
      <w:r>
        <w:rPr>
          <w:rStyle w:val="FootnoteReference"/>
          <w:rFonts w:asciiTheme="majorHAnsi" w:eastAsia="Times New Roman" w:hAnsiTheme="majorHAnsi" w:cstheme="majorHAnsi"/>
          <w:color w:val="000000"/>
        </w:rPr>
        <w:footnoteReference w:id="5"/>
      </w:r>
      <w:r w:rsidRPr="00571815">
        <w:rPr>
          <w:rFonts w:asciiTheme="majorHAnsi" w:eastAsia="Times New Roman" w:hAnsiTheme="majorHAnsi" w:cstheme="majorHAnsi"/>
          <w:color w:val="000000"/>
        </w:rPr>
        <w:t xml:space="preserve"> Though there have been recent concerns expressed by some that new nicotine pouches are the next new risk for youth uptake, the evidence does not support the fear.</w:t>
      </w:r>
      <w:r>
        <w:rPr>
          <w:rStyle w:val="FootnoteReference"/>
          <w:rFonts w:asciiTheme="majorHAnsi" w:eastAsia="Times New Roman" w:hAnsiTheme="majorHAnsi" w:cstheme="majorHAnsi"/>
          <w:color w:val="000000"/>
        </w:rPr>
        <w:footnoteReference w:id="6"/>
      </w:r>
      <w:r w:rsidRPr="00571815">
        <w:rPr>
          <w:rFonts w:asciiTheme="majorHAnsi" w:eastAsia="Times New Roman" w:hAnsiTheme="majorHAnsi" w:cstheme="majorHAnsi"/>
          <w:color w:val="000000"/>
        </w:rPr>
        <w:t xml:space="preserve"> </w:t>
      </w:r>
      <w:r>
        <w:t xml:space="preserve">Research has shown that those who smoke </w:t>
      </w:r>
      <w:r w:rsidRPr="00480EEE">
        <w:t xml:space="preserve">can draw adequate nicotine from the pouches to </w:t>
      </w:r>
      <w:r w:rsidRPr="00480EEE">
        <w:lastRenderedPageBreak/>
        <w:t>overcome cravings fo</w:t>
      </w:r>
      <w:r>
        <w:t>r</w:t>
      </w:r>
      <w:r w:rsidRPr="00480EEE">
        <w:t xml:space="preserve"> cigarettes.</w:t>
      </w:r>
      <w:r>
        <w:rPr>
          <w:rStyle w:val="FootnoteReference"/>
        </w:rPr>
        <w:footnoteReference w:id="7"/>
      </w:r>
      <w:r w:rsidR="008966DF">
        <w:t xml:space="preserve"> </w:t>
      </w:r>
      <w:r w:rsidR="00C32E4D">
        <w:rPr>
          <w:rFonts w:asciiTheme="majorHAnsi" w:hAnsiTheme="majorHAnsi" w:cstheme="majorHAnsi"/>
          <w:color w:val="000000"/>
        </w:rPr>
        <w:t xml:space="preserve">Implementing the proposed regulations will also place additional barriers in front of members of your community who are on a journey to a </w:t>
      </w:r>
      <w:r w:rsidR="004F0327">
        <w:rPr>
          <w:rFonts w:asciiTheme="majorHAnsi" w:hAnsiTheme="majorHAnsi" w:cstheme="majorHAnsi"/>
          <w:color w:val="000000"/>
        </w:rPr>
        <w:t>cigarette</w:t>
      </w:r>
      <w:r w:rsidR="00C32E4D">
        <w:rPr>
          <w:rFonts w:asciiTheme="majorHAnsi" w:hAnsiTheme="majorHAnsi" w:cstheme="majorHAnsi"/>
          <w:color w:val="000000"/>
        </w:rPr>
        <w:t xml:space="preserve">-free life. If </w:t>
      </w:r>
      <w:r w:rsidR="004F0327">
        <w:rPr>
          <w:rFonts w:asciiTheme="majorHAnsi" w:hAnsiTheme="majorHAnsi" w:cstheme="majorHAnsi"/>
          <w:color w:val="000000"/>
        </w:rPr>
        <w:t xml:space="preserve">combustible </w:t>
      </w:r>
      <w:r w:rsidR="00C32E4D">
        <w:rPr>
          <w:rFonts w:asciiTheme="majorHAnsi" w:hAnsiTheme="majorHAnsi" w:cstheme="majorHAnsi"/>
          <w:color w:val="000000"/>
        </w:rPr>
        <w:t>cigarettes are still readily available in gas stations and convenience stores, but access to reduced-risk products is only available at other establishments, the citizen will have to exert additional effort to obtain products that, if they switched completely, have been shown to improve their health dramatically.</w:t>
      </w:r>
      <w:r w:rsidR="00C32E4D">
        <w:rPr>
          <w:rStyle w:val="FootnoteReference"/>
          <w:rFonts w:asciiTheme="majorHAnsi" w:hAnsiTheme="majorHAnsi" w:cstheme="majorHAnsi"/>
          <w:color w:val="000000"/>
        </w:rPr>
        <w:footnoteReference w:id="8"/>
      </w:r>
      <w:r w:rsidR="00C32E4D">
        <w:rPr>
          <w:rFonts w:asciiTheme="majorHAnsi" w:hAnsiTheme="majorHAnsi" w:cstheme="majorHAnsi"/>
          <w:color w:val="000000"/>
        </w:rPr>
        <w:t xml:space="preserve"> While to some, this additional effort may seem minimal</w:t>
      </w:r>
      <w:r w:rsidR="00B24F4F">
        <w:rPr>
          <w:rFonts w:asciiTheme="majorHAnsi" w:hAnsiTheme="majorHAnsi" w:cstheme="majorHAnsi"/>
          <w:color w:val="000000"/>
        </w:rPr>
        <w:t>, but</w:t>
      </w:r>
      <w:r w:rsidR="00C32E4D">
        <w:rPr>
          <w:rFonts w:asciiTheme="majorHAnsi" w:hAnsiTheme="majorHAnsi" w:cstheme="majorHAnsi"/>
          <w:color w:val="000000"/>
        </w:rPr>
        <w:t xml:space="preserve"> </w:t>
      </w:r>
      <w:r w:rsidR="00C32E4D" w:rsidRPr="00D37331">
        <w:rPr>
          <w:rFonts w:asciiTheme="majorHAnsi" w:hAnsiTheme="majorHAnsi" w:cstheme="majorHAnsi"/>
          <w:color w:val="000000"/>
        </w:rPr>
        <w:t>to a smoker in the transition process, it </w:t>
      </w:r>
      <w:r w:rsidR="00C32E4D">
        <w:rPr>
          <w:rFonts w:asciiTheme="majorHAnsi" w:hAnsiTheme="majorHAnsi" w:cstheme="majorHAnsi"/>
          <w:color w:val="000000"/>
        </w:rPr>
        <w:t>could be the difference between continuing to smoke versus a safer</w:t>
      </w:r>
      <w:r w:rsidR="008328D9">
        <w:rPr>
          <w:rFonts w:asciiTheme="majorHAnsi" w:hAnsiTheme="majorHAnsi" w:cstheme="majorHAnsi"/>
          <w:color w:val="000000"/>
        </w:rPr>
        <w:t xml:space="preserve"> </w:t>
      </w:r>
      <w:r w:rsidR="00C32E4D">
        <w:rPr>
          <w:rFonts w:asciiTheme="majorHAnsi" w:hAnsiTheme="majorHAnsi" w:cstheme="majorHAnsi"/>
          <w:color w:val="000000"/>
        </w:rPr>
        <w:t xml:space="preserve">alternative. </w:t>
      </w:r>
    </w:p>
    <w:p w14:paraId="18DE2055" w14:textId="77777777" w:rsidR="00C32E4D" w:rsidRDefault="00C32E4D" w:rsidP="00C70426">
      <w:pPr>
        <w:spacing w:line="240" w:lineRule="auto"/>
        <w:rPr>
          <w:rFonts w:asciiTheme="majorHAnsi" w:hAnsiTheme="majorHAnsi" w:cstheme="majorHAnsi"/>
        </w:rPr>
      </w:pPr>
    </w:p>
    <w:p w14:paraId="6600854D" w14:textId="1B435E00" w:rsidR="00615CB2" w:rsidRDefault="000F0EB0" w:rsidP="00C70426">
      <w:pPr>
        <w:spacing w:line="240" w:lineRule="auto"/>
        <w:rPr>
          <w:rFonts w:asciiTheme="majorHAnsi" w:hAnsiTheme="majorHAnsi" w:cstheme="majorHAnsi"/>
          <w:color w:val="000000"/>
        </w:rPr>
      </w:pPr>
      <w:r>
        <w:rPr>
          <w:rFonts w:asciiTheme="majorHAnsi" w:hAnsiTheme="majorHAnsi" w:cstheme="majorHAnsi"/>
        </w:rPr>
        <w:t xml:space="preserve">A more effective approach to curbing youth access is the implementation and </w:t>
      </w:r>
      <w:r w:rsidR="0051577E">
        <w:rPr>
          <w:rFonts w:asciiTheme="majorHAnsi" w:hAnsiTheme="majorHAnsi" w:cstheme="majorHAnsi"/>
        </w:rPr>
        <w:t xml:space="preserve">enforcement of Tobacco 21. </w:t>
      </w:r>
      <w:r w:rsidR="00094284">
        <w:rPr>
          <w:rFonts w:asciiTheme="majorHAnsi" w:hAnsiTheme="majorHAnsi" w:cstheme="majorHAnsi"/>
        </w:rPr>
        <w:t>O</w:t>
      </w:r>
      <w:r w:rsidR="00C70426">
        <w:rPr>
          <w:rFonts w:asciiTheme="majorHAnsi" w:hAnsiTheme="majorHAnsi" w:cstheme="majorHAnsi"/>
        </w:rPr>
        <w:t>n </w:t>
      </w:r>
      <w:r w:rsidR="00C70426" w:rsidRPr="00376B99">
        <w:rPr>
          <w:rFonts w:asciiTheme="majorHAnsi" w:hAnsiTheme="majorHAnsi" w:cstheme="majorHAnsi"/>
          <w:color w:val="000000"/>
        </w:rPr>
        <w:t>Dec. 20, 2019,</w:t>
      </w:r>
      <w:r w:rsidR="00C70426" w:rsidRPr="00C9347A">
        <w:rPr>
          <w:rFonts w:asciiTheme="majorHAnsi" w:hAnsiTheme="majorHAnsi" w:cstheme="majorHAnsi"/>
        </w:rPr>
        <w:t xml:space="preserve"> Tobacco 21</w:t>
      </w:r>
      <w:r w:rsidR="00C70426" w:rsidRPr="00376B99">
        <w:rPr>
          <w:rFonts w:asciiTheme="majorHAnsi" w:hAnsiTheme="majorHAnsi" w:cstheme="majorHAnsi"/>
          <w:color w:val="000000"/>
        </w:rPr>
        <w:t xml:space="preserve"> (also called “T21”) was signed into law as an amendment to the Federal Food, Drug, and Cosmetic Act.</w:t>
      </w:r>
      <w:r w:rsidR="00C70426">
        <w:rPr>
          <w:rStyle w:val="FootnoteReference"/>
          <w:rFonts w:asciiTheme="majorHAnsi" w:hAnsiTheme="majorHAnsi" w:cstheme="majorHAnsi"/>
          <w:color w:val="000000"/>
        </w:rPr>
        <w:footnoteReference w:id="9"/>
      </w:r>
      <w:r w:rsidR="00C70426" w:rsidRPr="00376B99">
        <w:rPr>
          <w:rFonts w:asciiTheme="majorHAnsi" w:hAnsiTheme="majorHAnsi" w:cstheme="majorHAnsi"/>
          <w:color w:val="000000"/>
        </w:rPr>
        <w:t xml:space="preserve"> This law made it illegal for anyone under the age of 21 to purchase any tobacco or nicotine product</w:t>
      </w:r>
      <w:r w:rsidR="00C70426">
        <w:rPr>
          <w:rFonts w:asciiTheme="majorHAnsi" w:hAnsiTheme="majorHAnsi" w:cstheme="majorHAnsi"/>
          <w:color w:val="000000"/>
        </w:rPr>
        <w:t>,</w:t>
      </w:r>
      <w:r w:rsidR="00C70426" w:rsidRPr="00376B99">
        <w:rPr>
          <w:rFonts w:asciiTheme="majorHAnsi" w:hAnsiTheme="majorHAnsi" w:cstheme="majorHAnsi"/>
          <w:color w:val="000000"/>
        </w:rPr>
        <w:t xml:space="preserve"> and it has drastically decreased the use of such products among underage individuals.</w:t>
      </w:r>
      <w:r w:rsidR="00C70426">
        <w:rPr>
          <w:rFonts w:asciiTheme="majorHAnsi" w:hAnsiTheme="majorHAnsi" w:cstheme="majorHAnsi"/>
          <w:color w:val="000000"/>
        </w:rPr>
        <w:t xml:space="preserve"> The existence of this law is a primary driver for the reduction of youth vaping across the country.</w:t>
      </w:r>
      <w:r w:rsidR="00C70426" w:rsidRPr="00E24357">
        <w:rPr>
          <w:rFonts w:asciiTheme="majorHAnsi" w:hAnsiTheme="majorHAnsi" w:cstheme="majorHAnsi"/>
          <w:vertAlign w:val="superscript"/>
        </w:rPr>
        <w:footnoteReference w:id="10"/>
      </w:r>
      <w:r w:rsidR="00676FE5">
        <w:rPr>
          <w:rFonts w:asciiTheme="majorHAnsi" w:hAnsiTheme="majorHAnsi" w:cstheme="majorHAnsi"/>
          <w:color w:val="000000"/>
        </w:rPr>
        <w:t xml:space="preserve"> </w:t>
      </w:r>
      <w:r w:rsidR="004D1E45">
        <w:rPr>
          <w:rFonts w:asciiTheme="majorHAnsi" w:hAnsiTheme="majorHAnsi" w:cstheme="majorHAnsi"/>
          <w:color w:val="000000"/>
        </w:rPr>
        <w:t>Nationally, the first line of defense against youth access to adult-only products ha</w:t>
      </w:r>
      <w:r w:rsidR="00CB74D7">
        <w:rPr>
          <w:rFonts w:asciiTheme="majorHAnsi" w:hAnsiTheme="majorHAnsi" w:cstheme="majorHAnsi"/>
          <w:color w:val="000000"/>
        </w:rPr>
        <w:t>s</w:t>
      </w:r>
      <w:r w:rsidR="004D1E45">
        <w:rPr>
          <w:rFonts w:asciiTheme="majorHAnsi" w:hAnsiTheme="majorHAnsi" w:cstheme="majorHAnsi"/>
          <w:color w:val="000000"/>
        </w:rPr>
        <w:t xml:space="preserve"> been retailers</w:t>
      </w:r>
      <w:r w:rsidR="00C30987">
        <w:rPr>
          <w:rFonts w:asciiTheme="majorHAnsi" w:hAnsiTheme="majorHAnsi" w:cstheme="majorHAnsi"/>
          <w:color w:val="000000"/>
        </w:rPr>
        <w:t xml:space="preserve"> - </w:t>
      </w:r>
      <w:r w:rsidR="004D1E45">
        <w:rPr>
          <w:rFonts w:asciiTheme="majorHAnsi" w:hAnsiTheme="majorHAnsi" w:cstheme="majorHAnsi"/>
          <w:color w:val="000000"/>
        </w:rPr>
        <w:t>primarily gas stations and conv</w:t>
      </w:r>
      <w:r w:rsidR="00CB74D7">
        <w:rPr>
          <w:rFonts w:asciiTheme="majorHAnsi" w:hAnsiTheme="majorHAnsi" w:cstheme="majorHAnsi"/>
          <w:color w:val="000000"/>
        </w:rPr>
        <w:t>en</w:t>
      </w:r>
      <w:r w:rsidR="004D1E45">
        <w:rPr>
          <w:rFonts w:asciiTheme="majorHAnsi" w:hAnsiTheme="majorHAnsi" w:cstheme="majorHAnsi"/>
          <w:color w:val="000000"/>
        </w:rPr>
        <w:t>ience stores</w:t>
      </w:r>
      <w:r w:rsidR="00CB74D7">
        <w:rPr>
          <w:rFonts w:asciiTheme="majorHAnsi" w:hAnsiTheme="majorHAnsi" w:cstheme="majorHAnsi"/>
          <w:color w:val="000000"/>
        </w:rPr>
        <w:t xml:space="preserve">. </w:t>
      </w:r>
      <w:r w:rsidR="003825F5">
        <w:rPr>
          <w:rFonts w:asciiTheme="majorHAnsi" w:hAnsiTheme="majorHAnsi" w:cstheme="majorHAnsi"/>
          <w:color w:val="000000"/>
        </w:rPr>
        <w:t>For decades, these types of establishments have had methods to effectively manage the age</w:t>
      </w:r>
      <w:r w:rsidR="00EA3089">
        <w:rPr>
          <w:rFonts w:asciiTheme="majorHAnsi" w:hAnsiTheme="majorHAnsi" w:cstheme="majorHAnsi"/>
          <w:color w:val="000000"/>
        </w:rPr>
        <w:t xml:space="preserve"> </w:t>
      </w:r>
      <w:r w:rsidR="003825F5">
        <w:rPr>
          <w:rFonts w:asciiTheme="majorHAnsi" w:hAnsiTheme="majorHAnsi" w:cstheme="majorHAnsi"/>
          <w:color w:val="000000"/>
        </w:rPr>
        <w:t>verification</w:t>
      </w:r>
      <w:r w:rsidR="00A863F8">
        <w:rPr>
          <w:rFonts w:asciiTheme="majorHAnsi" w:hAnsiTheme="majorHAnsi" w:cstheme="majorHAnsi"/>
          <w:color w:val="000000"/>
        </w:rPr>
        <w:t xml:space="preserve"> process</w:t>
      </w:r>
      <w:r w:rsidR="00CB566B">
        <w:rPr>
          <w:rFonts w:asciiTheme="majorHAnsi" w:hAnsiTheme="majorHAnsi" w:cstheme="majorHAnsi"/>
          <w:color w:val="000000"/>
        </w:rPr>
        <w:t xml:space="preserve"> at point-of-sale for </w:t>
      </w:r>
      <w:r w:rsidR="004D6190">
        <w:rPr>
          <w:rFonts w:asciiTheme="majorHAnsi" w:hAnsiTheme="majorHAnsi" w:cstheme="majorHAnsi"/>
          <w:color w:val="000000"/>
        </w:rPr>
        <w:t>age</w:t>
      </w:r>
      <w:r w:rsidR="00C32E4D">
        <w:rPr>
          <w:rFonts w:asciiTheme="majorHAnsi" w:hAnsiTheme="majorHAnsi" w:cstheme="majorHAnsi"/>
          <w:color w:val="000000"/>
        </w:rPr>
        <w:t>-</w:t>
      </w:r>
      <w:r w:rsidR="004D6190">
        <w:rPr>
          <w:rFonts w:asciiTheme="majorHAnsi" w:hAnsiTheme="majorHAnsi" w:cstheme="majorHAnsi"/>
          <w:color w:val="000000"/>
        </w:rPr>
        <w:t xml:space="preserve">restricted merchandise such as </w:t>
      </w:r>
      <w:r w:rsidR="00CB566B">
        <w:rPr>
          <w:rFonts w:asciiTheme="majorHAnsi" w:hAnsiTheme="majorHAnsi" w:cstheme="majorHAnsi"/>
          <w:color w:val="000000"/>
        </w:rPr>
        <w:t>alcohol, lottery tickets, and tobacco/nicotine products. These methods are state-of-the-art</w:t>
      </w:r>
      <w:r w:rsidR="00EA3089">
        <w:rPr>
          <w:rFonts w:asciiTheme="majorHAnsi" w:hAnsiTheme="majorHAnsi" w:cstheme="majorHAnsi"/>
          <w:color w:val="000000"/>
        </w:rPr>
        <w:t>,</w:t>
      </w:r>
      <w:r w:rsidR="00CB566B">
        <w:rPr>
          <w:rFonts w:asciiTheme="majorHAnsi" w:hAnsiTheme="majorHAnsi" w:cstheme="majorHAnsi"/>
          <w:color w:val="000000"/>
        </w:rPr>
        <w:t xml:space="preserve"> and specific training and </w:t>
      </w:r>
      <w:r w:rsidR="00621DA5">
        <w:rPr>
          <w:rFonts w:asciiTheme="majorHAnsi" w:hAnsiTheme="majorHAnsi" w:cstheme="majorHAnsi"/>
          <w:color w:val="000000"/>
        </w:rPr>
        <w:t xml:space="preserve">standard operating procedures are established and function well within the workflow of these </w:t>
      </w:r>
      <w:r w:rsidR="00EA3089">
        <w:rPr>
          <w:rFonts w:asciiTheme="majorHAnsi" w:hAnsiTheme="majorHAnsi" w:cstheme="majorHAnsi"/>
          <w:color w:val="000000"/>
        </w:rPr>
        <w:t>v</w:t>
      </w:r>
      <w:r w:rsidR="00F00136">
        <w:rPr>
          <w:rFonts w:asciiTheme="majorHAnsi" w:hAnsiTheme="majorHAnsi" w:cstheme="majorHAnsi"/>
          <w:color w:val="000000"/>
        </w:rPr>
        <w:t>ita</w:t>
      </w:r>
      <w:r w:rsidR="00EA3089">
        <w:rPr>
          <w:rFonts w:asciiTheme="majorHAnsi" w:hAnsiTheme="majorHAnsi" w:cstheme="majorHAnsi"/>
          <w:color w:val="000000"/>
        </w:rPr>
        <w:t>l</w:t>
      </w:r>
      <w:r w:rsidR="00F00136">
        <w:rPr>
          <w:rFonts w:asciiTheme="majorHAnsi" w:hAnsiTheme="majorHAnsi" w:cstheme="majorHAnsi"/>
          <w:color w:val="000000"/>
        </w:rPr>
        <w:t xml:space="preserve"> community establishments.</w:t>
      </w:r>
      <w:r w:rsidR="007145C4">
        <w:rPr>
          <w:rStyle w:val="FootnoteReference"/>
          <w:rFonts w:asciiTheme="majorHAnsi" w:hAnsiTheme="majorHAnsi" w:cstheme="majorHAnsi"/>
          <w:color w:val="000000"/>
        </w:rPr>
        <w:footnoteReference w:id="11"/>
      </w:r>
      <w:r w:rsidR="00F00136">
        <w:rPr>
          <w:rFonts w:asciiTheme="majorHAnsi" w:hAnsiTheme="majorHAnsi" w:cstheme="majorHAnsi"/>
          <w:color w:val="000000"/>
        </w:rPr>
        <w:t xml:space="preserve"> Transfer</w:t>
      </w:r>
      <w:r w:rsidR="00EA3089">
        <w:rPr>
          <w:rFonts w:asciiTheme="majorHAnsi" w:hAnsiTheme="majorHAnsi" w:cstheme="majorHAnsi"/>
          <w:color w:val="000000"/>
        </w:rPr>
        <w:t>r</w:t>
      </w:r>
      <w:r w:rsidR="00F00136">
        <w:rPr>
          <w:rFonts w:asciiTheme="majorHAnsi" w:hAnsiTheme="majorHAnsi" w:cstheme="majorHAnsi"/>
          <w:color w:val="000000"/>
        </w:rPr>
        <w:t xml:space="preserve">ing these responsibilities to </w:t>
      </w:r>
      <w:r w:rsidR="00F63455">
        <w:rPr>
          <w:rFonts w:asciiTheme="majorHAnsi" w:hAnsiTheme="majorHAnsi" w:cstheme="majorHAnsi"/>
          <w:color w:val="000000"/>
        </w:rPr>
        <w:t xml:space="preserve">other businesses (adult-only retail establishments like </w:t>
      </w:r>
      <w:r w:rsidR="00BC61CA">
        <w:rPr>
          <w:rFonts w:asciiTheme="majorHAnsi" w:hAnsiTheme="majorHAnsi" w:cstheme="majorHAnsi"/>
          <w:color w:val="000000"/>
        </w:rPr>
        <w:t xml:space="preserve">vape shops and head shops) will </w:t>
      </w:r>
      <w:r w:rsidR="007A1047">
        <w:rPr>
          <w:rFonts w:asciiTheme="majorHAnsi" w:hAnsiTheme="majorHAnsi" w:cstheme="majorHAnsi"/>
          <w:color w:val="000000"/>
        </w:rPr>
        <w:t xml:space="preserve">limit the likelihood of success simply due to the lack of resources and processes </w:t>
      </w:r>
      <w:r w:rsidR="00570888">
        <w:rPr>
          <w:rFonts w:asciiTheme="majorHAnsi" w:hAnsiTheme="majorHAnsi" w:cstheme="majorHAnsi"/>
          <w:color w:val="000000"/>
        </w:rPr>
        <w:t>within these establishments</w:t>
      </w:r>
      <w:r w:rsidR="00E5494E">
        <w:rPr>
          <w:rFonts w:asciiTheme="majorHAnsi" w:hAnsiTheme="majorHAnsi" w:cstheme="majorHAnsi"/>
          <w:color w:val="000000"/>
        </w:rPr>
        <w:t>.</w:t>
      </w:r>
      <w:r w:rsidR="00C57C09">
        <w:rPr>
          <w:rStyle w:val="FootnoteReference"/>
          <w:rFonts w:asciiTheme="majorHAnsi" w:hAnsiTheme="majorHAnsi" w:cstheme="majorHAnsi"/>
          <w:color w:val="000000"/>
        </w:rPr>
        <w:footnoteReference w:id="12"/>
      </w:r>
      <w:r w:rsidR="00E5494E">
        <w:rPr>
          <w:rFonts w:asciiTheme="majorHAnsi" w:hAnsiTheme="majorHAnsi" w:cstheme="majorHAnsi"/>
          <w:color w:val="000000"/>
        </w:rPr>
        <w:t xml:space="preserve"> </w:t>
      </w:r>
    </w:p>
    <w:p w14:paraId="6D6205A0" w14:textId="77777777" w:rsidR="004F0327" w:rsidRDefault="004F0327" w:rsidP="00C70426">
      <w:pPr>
        <w:spacing w:line="240" w:lineRule="auto"/>
        <w:rPr>
          <w:rFonts w:asciiTheme="majorHAnsi" w:eastAsia="Times New Roman" w:hAnsiTheme="majorHAnsi" w:cstheme="majorHAnsi"/>
          <w:color w:val="000000"/>
        </w:rPr>
      </w:pPr>
    </w:p>
    <w:p w14:paraId="10F55C2E" w14:textId="53CFFE77" w:rsidR="00E5494E" w:rsidRDefault="00C32E4D" w:rsidP="00C70426">
      <w:pPr>
        <w:spacing w:line="240" w:lineRule="auto"/>
        <w:rPr>
          <w:rFonts w:asciiTheme="majorHAnsi" w:hAnsiTheme="majorHAnsi" w:cstheme="majorHAnsi"/>
          <w:color w:val="000000"/>
        </w:rPr>
      </w:pPr>
      <w:r>
        <w:rPr>
          <w:rFonts w:asciiTheme="majorHAnsi" w:eastAsia="Times New Roman" w:hAnsiTheme="majorHAnsi" w:cstheme="majorHAnsi"/>
          <w:color w:val="000000"/>
        </w:rPr>
        <w:lastRenderedPageBreak/>
        <w:t xml:space="preserve">Currently, youth use of </w:t>
      </w:r>
      <w:r w:rsidR="008328D9">
        <w:rPr>
          <w:rFonts w:asciiTheme="majorHAnsi" w:eastAsia="Times New Roman" w:hAnsiTheme="majorHAnsi" w:cstheme="majorHAnsi"/>
          <w:color w:val="000000"/>
        </w:rPr>
        <w:t>nicotine pouches</w:t>
      </w:r>
      <w:r>
        <w:rPr>
          <w:rFonts w:asciiTheme="majorHAnsi" w:eastAsia="Times New Roman" w:hAnsiTheme="majorHAnsi" w:cstheme="majorHAnsi"/>
          <w:color w:val="000000"/>
        </w:rPr>
        <w:t xml:space="preserve"> is very low. The CDC recently published data from the yearly National Youth Tobacco Survey that reported that youth use of these products was less than 1.8%.</w:t>
      </w:r>
      <w:r>
        <w:rPr>
          <w:rStyle w:val="FootnoteReference"/>
          <w:rFonts w:asciiTheme="majorHAnsi" w:eastAsia="Times New Roman" w:hAnsiTheme="majorHAnsi" w:cstheme="majorHAnsi"/>
          <w:color w:val="000000"/>
        </w:rPr>
        <w:footnoteReference w:id="13"/>
      </w:r>
      <w:r>
        <w:rPr>
          <w:rFonts w:asciiTheme="majorHAnsi" w:eastAsia="Times New Roman" w:hAnsiTheme="majorHAnsi" w:cstheme="majorHAnsi"/>
          <w:color w:val="000000"/>
        </w:rPr>
        <w:t xml:space="preserve"> These numbers have remained low and are likely to stay at these low levels due to stricter access laws (T21), enhanced enforcement measures</w:t>
      </w:r>
      <w:r w:rsidR="00346F6B">
        <w:rPr>
          <w:rFonts w:asciiTheme="majorHAnsi" w:eastAsia="Times New Roman" w:hAnsiTheme="majorHAnsi" w:cstheme="majorHAnsi"/>
          <w:color w:val="000000"/>
        </w:rPr>
        <w:t>,</w:t>
      </w:r>
      <w:r w:rsidR="0051577E">
        <w:rPr>
          <w:rFonts w:asciiTheme="majorHAnsi" w:eastAsia="Times New Roman" w:hAnsiTheme="majorHAnsi" w:cstheme="majorHAnsi"/>
          <w:color w:val="000000"/>
        </w:rPr>
        <w:t xml:space="preserve"> and significant penalties when retailers fail to </w:t>
      </w:r>
      <w:r w:rsidR="00B83704">
        <w:rPr>
          <w:rFonts w:asciiTheme="majorHAnsi" w:eastAsia="Times New Roman" w:hAnsiTheme="majorHAnsi" w:cstheme="majorHAnsi"/>
          <w:color w:val="000000"/>
        </w:rPr>
        <w:t>enforce cor</w:t>
      </w:r>
      <w:r w:rsidR="0051577E">
        <w:rPr>
          <w:rFonts w:asciiTheme="majorHAnsi" w:eastAsia="Times New Roman" w:hAnsiTheme="majorHAnsi" w:cstheme="majorHAnsi"/>
          <w:color w:val="000000"/>
        </w:rPr>
        <w:t>re</w:t>
      </w:r>
      <w:r w:rsidR="00B83704">
        <w:rPr>
          <w:rFonts w:asciiTheme="majorHAnsi" w:eastAsia="Times New Roman" w:hAnsiTheme="majorHAnsi" w:cstheme="majorHAnsi"/>
          <w:color w:val="000000"/>
        </w:rPr>
        <w:t>ct</w:t>
      </w:r>
      <w:r w:rsidR="0051577E">
        <w:rPr>
          <w:rFonts w:asciiTheme="majorHAnsi" w:eastAsia="Times New Roman" w:hAnsiTheme="majorHAnsi" w:cstheme="majorHAnsi"/>
          <w:color w:val="000000"/>
        </w:rPr>
        <w:t>ly</w:t>
      </w:r>
      <w:r>
        <w:rPr>
          <w:rFonts w:asciiTheme="majorHAnsi" w:eastAsia="Times New Roman" w:hAnsiTheme="majorHAnsi" w:cstheme="majorHAnsi"/>
          <w:color w:val="000000"/>
        </w:rPr>
        <w:t xml:space="preserve">. </w:t>
      </w:r>
      <w:r w:rsidR="00E5494E">
        <w:rPr>
          <w:rFonts w:asciiTheme="majorHAnsi" w:hAnsiTheme="majorHAnsi" w:cstheme="majorHAnsi"/>
          <w:color w:val="000000"/>
        </w:rPr>
        <w:t>Additionally</w:t>
      </w:r>
      <w:r w:rsidR="005E1157">
        <w:rPr>
          <w:rFonts w:asciiTheme="majorHAnsi" w:hAnsiTheme="majorHAnsi" w:cstheme="majorHAnsi"/>
          <w:color w:val="000000"/>
        </w:rPr>
        <w:t>, if the proposed regulation is approved</w:t>
      </w:r>
      <w:r w:rsidR="00E5494E">
        <w:rPr>
          <w:rFonts w:asciiTheme="majorHAnsi" w:hAnsiTheme="majorHAnsi" w:cstheme="majorHAnsi"/>
          <w:color w:val="000000"/>
        </w:rPr>
        <w:t>, the</w:t>
      </w:r>
      <w:r w:rsidR="00EF2AC2">
        <w:rPr>
          <w:rFonts w:asciiTheme="majorHAnsi" w:hAnsiTheme="majorHAnsi" w:cstheme="majorHAnsi"/>
          <w:color w:val="000000"/>
        </w:rPr>
        <w:t xml:space="preserve"> fin</w:t>
      </w:r>
      <w:r w:rsidR="00B43B32">
        <w:rPr>
          <w:rFonts w:asciiTheme="majorHAnsi" w:hAnsiTheme="majorHAnsi" w:cstheme="majorHAnsi"/>
          <w:color w:val="000000"/>
        </w:rPr>
        <w:t>an</w:t>
      </w:r>
      <w:r w:rsidR="00EF2AC2">
        <w:rPr>
          <w:rFonts w:asciiTheme="majorHAnsi" w:hAnsiTheme="majorHAnsi" w:cstheme="majorHAnsi"/>
          <w:color w:val="000000"/>
        </w:rPr>
        <w:t xml:space="preserve">cial impact on these vital establishments (gas stations/convenience stores) </w:t>
      </w:r>
      <w:r w:rsidR="00A863F8">
        <w:rPr>
          <w:rFonts w:asciiTheme="majorHAnsi" w:hAnsiTheme="majorHAnsi" w:cstheme="majorHAnsi"/>
          <w:color w:val="000000"/>
        </w:rPr>
        <w:t>will be significant</w:t>
      </w:r>
      <w:r w:rsidR="00EF2AC2">
        <w:rPr>
          <w:rFonts w:asciiTheme="majorHAnsi" w:hAnsiTheme="majorHAnsi" w:cstheme="majorHAnsi"/>
          <w:color w:val="000000"/>
        </w:rPr>
        <w:t xml:space="preserve">. The </w:t>
      </w:r>
      <w:r w:rsidR="00B43B32">
        <w:rPr>
          <w:rFonts w:asciiTheme="majorHAnsi" w:hAnsiTheme="majorHAnsi" w:cstheme="majorHAnsi"/>
          <w:color w:val="000000"/>
        </w:rPr>
        <w:t xml:space="preserve">losses from </w:t>
      </w:r>
      <w:r w:rsidR="00B3298B">
        <w:rPr>
          <w:rFonts w:asciiTheme="majorHAnsi" w:hAnsiTheme="majorHAnsi" w:cstheme="majorHAnsi"/>
          <w:color w:val="000000"/>
        </w:rPr>
        <w:t>se</w:t>
      </w:r>
      <w:r w:rsidR="00A863F8">
        <w:rPr>
          <w:rFonts w:asciiTheme="majorHAnsi" w:hAnsiTheme="majorHAnsi" w:cstheme="majorHAnsi"/>
          <w:color w:val="000000"/>
        </w:rPr>
        <w:t>lling</w:t>
      </w:r>
      <w:r w:rsidR="00B3298B">
        <w:rPr>
          <w:rFonts w:asciiTheme="majorHAnsi" w:hAnsiTheme="majorHAnsi" w:cstheme="majorHAnsi"/>
          <w:color w:val="000000"/>
        </w:rPr>
        <w:t xml:space="preserve"> tobacco/nicotine products </w:t>
      </w:r>
      <w:r w:rsidR="004E2DB4">
        <w:rPr>
          <w:rFonts w:asciiTheme="majorHAnsi" w:hAnsiTheme="majorHAnsi" w:cstheme="majorHAnsi"/>
          <w:color w:val="000000"/>
        </w:rPr>
        <w:t xml:space="preserve">will put additional stress on the owners, requiring the reduction of staffing, </w:t>
      </w:r>
      <w:r w:rsidR="003D5DAB">
        <w:rPr>
          <w:rFonts w:asciiTheme="majorHAnsi" w:hAnsiTheme="majorHAnsi" w:cstheme="majorHAnsi"/>
          <w:color w:val="000000"/>
        </w:rPr>
        <w:t xml:space="preserve">reduced hours, and even </w:t>
      </w:r>
      <w:r w:rsidR="00703154">
        <w:rPr>
          <w:rFonts w:asciiTheme="majorHAnsi" w:hAnsiTheme="majorHAnsi" w:cstheme="majorHAnsi"/>
          <w:color w:val="000000"/>
        </w:rPr>
        <w:t>the </w:t>
      </w:r>
      <w:r w:rsidR="003D5DAB">
        <w:rPr>
          <w:rFonts w:asciiTheme="majorHAnsi" w:hAnsiTheme="majorHAnsi" w:cstheme="majorHAnsi"/>
          <w:color w:val="000000"/>
        </w:rPr>
        <w:t>potential closure of these important small businesses.</w:t>
      </w:r>
      <w:r w:rsidR="00285608">
        <w:rPr>
          <w:rStyle w:val="FootnoteReference"/>
          <w:rFonts w:asciiTheme="majorHAnsi" w:hAnsiTheme="majorHAnsi" w:cstheme="majorHAnsi"/>
          <w:color w:val="000000"/>
        </w:rPr>
        <w:footnoteReference w:id="14"/>
      </w:r>
      <w:r w:rsidR="003D5DAB">
        <w:rPr>
          <w:rFonts w:asciiTheme="majorHAnsi" w:hAnsiTheme="majorHAnsi" w:cstheme="majorHAnsi"/>
          <w:color w:val="000000"/>
        </w:rPr>
        <w:t xml:space="preserve"> </w:t>
      </w:r>
      <w:r w:rsidR="008A5A27">
        <w:rPr>
          <w:rFonts w:asciiTheme="majorHAnsi" w:hAnsiTheme="majorHAnsi" w:cstheme="majorHAnsi"/>
          <w:color w:val="000000"/>
        </w:rPr>
        <w:t>I</w:t>
      </w:r>
      <w:r w:rsidR="000C5B94">
        <w:rPr>
          <w:rFonts w:asciiTheme="majorHAnsi" w:hAnsiTheme="majorHAnsi" w:cstheme="majorHAnsi"/>
          <w:color w:val="000000"/>
        </w:rPr>
        <w:t>f these regulations are passed</w:t>
      </w:r>
      <w:r w:rsidR="00703154">
        <w:rPr>
          <w:rFonts w:asciiTheme="majorHAnsi" w:hAnsiTheme="majorHAnsi" w:cstheme="majorHAnsi"/>
          <w:color w:val="000000"/>
        </w:rPr>
        <w:t>,</w:t>
      </w:r>
      <w:r w:rsidR="000C5B94">
        <w:rPr>
          <w:rFonts w:asciiTheme="majorHAnsi" w:hAnsiTheme="majorHAnsi" w:cstheme="majorHAnsi"/>
          <w:color w:val="000000"/>
        </w:rPr>
        <w:t xml:space="preserve"> </w:t>
      </w:r>
      <w:r w:rsidR="008A5A27">
        <w:rPr>
          <w:rFonts w:asciiTheme="majorHAnsi" w:hAnsiTheme="majorHAnsi" w:cstheme="majorHAnsi"/>
          <w:color w:val="000000"/>
        </w:rPr>
        <w:t>the</w:t>
      </w:r>
      <w:r w:rsidR="00A863F8">
        <w:rPr>
          <w:rFonts w:asciiTheme="majorHAnsi" w:hAnsiTheme="majorHAnsi" w:cstheme="majorHAnsi"/>
          <w:color w:val="000000"/>
        </w:rPr>
        <w:t xml:space="preserve"> </w:t>
      </w:r>
      <w:r w:rsidR="00836339">
        <w:rPr>
          <w:rFonts w:asciiTheme="majorHAnsi" w:hAnsiTheme="majorHAnsi" w:cstheme="majorHAnsi"/>
          <w:color w:val="000000"/>
        </w:rPr>
        <w:t xml:space="preserve">Needham </w:t>
      </w:r>
      <w:r w:rsidR="00A863F8">
        <w:rPr>
          <w:rFonts w:asciiTheme="majorHAnsi" w:hAnsiTheme="majorHAnsi" w:cstheme="majorHAnsi"/>
          <w:color w:val="000000"/>
        </w:rPr>
        <w:t>community</w:t>
      </w:r>
      <w:r w:rsidR="008A5A27">
        <w:rPr>
          <w:rFonts w:asciiTheme="majorHAnsi" w:hAnsiTheme="majorHAnsi" w:cstheme="majorHAnsi"/>
          <w:color w:val="000000"/>
        </w:rPr>
        <w:t xml:space="preserve"> w</w:t>
      </w:r>
      <w:r w:rsidR="00703154">
        <w:rPr>
          <w:rFonts w:asciiTheme="majorHAnsi" w:hAnsiTheme="majorHAnsi" w:cstheme="majorHAnsi"/>
          <w:color w:val="000000"/>
        </w:rPr>
        <w:t>i</w:t>
      </w:r>
      <w:r w:rsidR="008A5A27">
        <w:rPr>
          <w:rFonts w:asciiTheme="majorHAnsi" w:hAnsiTheme="majorHAnsi" w:cstheme="majorHAnsi"/>
          <w:color w:val="000000"/>
        </w:rPr>
        <w:t>ll</w:t>
      </w:r>
      <w:r w:rsidR="000C5B94">
        <w:rPr>
          <w:rFonts w:asciiTheme="majorHAnsi" w:hAnsiTheme="majorHAnsi" w:cstheme="majorHAnsi"/>
          <w:color w:val="000000"/>
        </w:rPr>
        <w:t xml:space="preserve"> </w:t>
      </w:r>
      <w:r w:rsidR="00A863F8">
        <w:rPr>
          <w:rFonts w:asciiTheme="majorHAnsi" w:hAnsiTheme="majorHAnsi" w:cstheme="majorHAnsi"/>
          <w:color w:val="000000"/>
        </w:rPr>
        <w:t>suff</w:t>
      </w:r>
      <w:r w:rsidR="000C5B94">
        <w:rPr>
          <w:rFonts w:asciiTheme="majorHAnsi" w:hAnsiTheme="majorHAnsi" w:cstheme="majorHAnsi"/>
          <w:color w:val="000000"/>
        </w:rPr>
        <w:t>e</w:t>
      </w:r>
      <w:r w:rsidR="00A863F8">
        <w:rPr>
          <w:rFonts w:asciiTheme="majorHAnsi" w:hAnsiTheme="majorHAnsi" w:cstheme="majorHAnsi"/>
          <w:color w:val="000000"/>
        </w:rPr>
        <w:t>r</w:t>
      </w:r>
      <w:r w:rsidR="000C5B94">
        <w:rPr>
          <w:rFonts w:asciiTheme="majorHAnsi" w:hAnsiTheme="majorHAnsi" w:cstheme="majorHAnsi"/>
          <w:color w:val="000000"/>
        </w:rPr>
        <w:t xml:space="preserve"> a net loss</w:t>
      </w:r>
      <w:r w:rsidR="00703154">
        <w:rPr>
          <w:rFonts w:asciiTheme="majorHAnsi" w:hAnsiTheme="majorHAnsi" w:cstheme="majorHAnsi"/>
          <w:color w:val="000000"/>
        </w:rPr>
        <w:t>.</w:t>
      </w:r>
    </w:p>
    <w:p w14:paraId="5F42B4DC" w14:textId="77777777" w:rsidR="00703154" w:rsidRDefault="00703154" w:rsidP="00C70426">
      <w:pPr>
        <w:spacing w:line="240" w:lineRule="auto"/>
        <w:rPr>
          <w:rFonts w:asciiTheme="majorHAnsi" w:hAnsiTheme="majorHAnsi" w:cstheme="majorHAnsi"/>
          <w:color w:val="000000"/>
        </w:rPr>
      </w:pPr>
    </w:p>
    <w:p w14:paraId="30E1FC45" w14:textId="61AD9316" w:rsidR="00276081" w:rsidRDefault="00CF10A0" w:rsidP="00C56E11">
      <w:r>
        <w:t>Continued access to reduced-risk products</w:t>
      </w:r>
      <w:r w:rsidR="0056573B">
        <w:t xml:space="preserve"> like nicotine pouches</w:t>
      </w:r>
      <w:r>
        <w:t xml:space="preserve"> is </w:t>
      </w:r>
      <w:r w:rsidR="00676401">
        <w:t>critical</w:t>
      </w:r>
      <w:r>
        <w:t xml:space="preserve"> t</w:t>
      </w:r>
      <w:r w:rsidR="005F3968">
        <w:t>o</w:t>
      </w:r>
      <w:r>
        <w:t xml:space="preserve"> supporting </w:t>
      </w:r>
      <w:r w:rsidR="0093721F" w:rsidRPr="0093721F">
        <w:t>Needham</w:t>
      </w:r>
      <w:r w:rsidR="00977611">
        <w:t xml:space="preserve">’s </w:t>
      </w:r>
      <w:r w:rsidR="00034379">
        <w:t xml:space="preserve">adult </w:t>
      </w:r>
      <w:r w:rsidR="00C0460A">
        <w:t>smok</w:t>
      </w:r>
      <w:r>
        <w:t>e</w:t>
      </w:r>
      <w:r w:rsidR="00C0460A">
        <w:t>rs</w:t>
      </w:r>
      <w:r w:rsidR="007018C8">
        <w:t>'</w:t>
      </w:r>
      <w:r>
        <w:t xml:space="preserve"> transition to a healthier life.</w:t>
      </w:r>
      <w:r w:rsidR="0056573B">
        <w:t xml:space="preserve"> While further restricting </w:t>
      </w:r>
      <w:r w:rsidR="007018C8">
        <w:t xml:space="preserve">youth </w:t>
      </w:r>
      <w:r w:rsidR="0056573B">
        <w:t xml:space="preserve">access is a </w:t>
      </w:r>
      <w:r w:rsidR="00B46185">
        <w:t xml:space="preserve">laudable </w:t>
      </w:r>
      <w:r w:rsidR="0056573B">
        <w:t xml:space="preserve">goal that we share, the proposed </w:t>
      </w:r>
      <w:r w:rsidR="00335D14">
        <w:t>regulation</w:t>
      </w:r>
      <w:r w:rsidR="0056573B">
        <w:t xml:space="preserve"> is a solution in search of a problem</w:t>
      </w:r>
      <w:r w:rsidR="007018C8">
        <w:t>.</w:t>
      </w:r>
      <w:r w:rsidR="0056573B">
        <w:t xml:space="preserve"> </w:t>
      </w:r>
      <w:r w:rsidR="007018C8">
        <w:t>It</w:t>
      </w:r>
      <w:r w:rsidR="0056573B">
        <w:t xml:space="preserve"> will only </w:t>
      </w:r>
      <w:r w:rsidR="00B46185">
        <w:t>complicate the ability</w:t>
      </w:r>
      <w:r w:rsidR="0056573B">
        <w:t xml:space="preserve"> of adult smokers interested in cessation</w:t>
      </w:r>
      <w:r w:rsidR="00B46185">
        <w:t xml:space="preserve"> to obtain safer alternatives to combustible cigarettes</w:t>
      </w:r>
      <w:r w:rsidR="0056573B">
        <w:t>. As such, t</w:t>
      </w:r>
      <w:r w:rsidR="00CE786F">
        <w:t xml:space="preserve">he R Street Institute </w:t>
      </w:r>
      <w:r w:rsidR="00335D14">
        <w:t xml:space="preserve">encourages </w:t>
      </w:r>
      <w:r w:rsidR="00CE786F">
        <w:t xml:space="preserve">you to consider </w:t>
      </w:r>
      <w:r w:rsidR="00800222">
        <w:t>how access to reduced</w:t>
      </w:r>
      <w:r w:rsidR="00A93803">
        <w:t>-</w:t>
      </w:r>
      <w:r w:rsidR="00800222">
        <w:t xml:space="preserve">risk products </w:t>
      </w:r>
      <w:r w:rsidR="00C15862">
        <w:t>impact</w:t>
      </w:r>
      <w:r w:rsidR="00E85229">
        <w:t>s</w:t>
      </w:r>
      <w:r w:rsidR="00800222">
        <w:t xml:space="preserve"> the health of </w:t>
      </w:r>
      <w:r w:rsidR="0005408A">
        <w:t>all community</w:t>
      </w:r>
      <w:r w:rsidR="00676401">
        <w:t xml:space="preserve"> members</w:t>
      </w:r>
      <w:r w:rsidR="008A5A27">
        <w:t xml:space="preserve"> when considering important regulations</w:t>
      </w:r>
      <w:r w:rsidR="00676401">
        <w:t xml:space="preserve"> such as the one being discussed by </w:t>
      </w:r>
      <w:r w:rsidR="005F3968">
        <w:t xml:space="preserve">the </w:t>
      </w:r>
      <w:r w:rsidR="0093721F" w:rsidRPr="0093721F">
        <w:t>Needham</w:t>
      </w:r>
      <w:r w:rsidR="0093721F">
        <w:t xml:space="preserve"> </w:t>
      </w:r>
      <w:r w:rsidR="0006771C">
        <w:t xml:space="preserve">Board </w:t>
      </w:r>
      <w:r w:rsidR="00676401">
        <w:t xml:space="preserve">of </w:t>
      </w:r>
      <w:r w:rsidR="005F3968">
        <w:t>H</w:t>
      </w:r>
      <w:r w:rsidR="00676401">
        <w:t>ealth</w:t>
      </w:r>
      <w:r w:rsidR="0005408A">
        <w:t xml:space="preserve">. </w:t>
      </w:r>
      <w:r w:rsidR="0056573B">
        <w:t xml:space="preserve">We </w:t>
      </w:r>
      <w:r w:rsidR="00335D14">
        <w:t xml:space="preserve">strongly </w:t>
      </w:r>
      <w:r w:rsidR="0056573B">
        <w:t xml:space="preserve">urge you to reject this </w:t>
      </w:r>
      <w:r w:rsidR="00335D14">
        <w:t xml:space="preserve">misguided </w:t>
      </w:r>
      <w:r w:rsidR="00281841">
        <w:t>aspect of the regulations under review</w:t>
      </w:r>
      <w:r w:rsidR="0056573B">
        <w:t>.</w:t>
      </w:r>
    </w:p>
    <w:p w14:paraId="3DAEE877" w14:textId="77777777" w:rsidR="00CF0ED2" w:rsidRDefault="00CF0ED2"/>
    <w:p w14:paraId="72BAC27C" w14:textId="77777777" w:rsidR="002208C3" w:rsidRDefault="00CE786F">
      <w:r>
        <w:t>Thank you,</w:t>
      </w:r>
    </w:p>
    <w:p w14:paraId="01C40BF5" w14:textId="0A150FC9" w:rsidR="002208C3" w:rsidRDefault="00C15862">
      <w:r>
        <w:rPr>
          <w:noProof/>
        </w:rPr>
        <w:drawing>
          <wp:inline distT="0" distB="0" distL="0" distR="0" wp14:anchorId="650B451E" wp14:editId="7C678B74">
            <wp:extent cx="1811020" cy="591820"/>
            <wp:effectExtent l="0" t="0" r="0" b="0"/>
            <wp:docPr id="1228996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11020" cy="591820"/>
                    </a:xfrm>
                    <a:prstGeom prst="rect">
                      <a:avLst/>
                    </a:prstGeom>
                    <a:noFill/>
                    <a:ln>
                      <a:noFill/>
                    </a:ln>
                  </pic:spPr>
                </pic:pic>
              </a:graphicData>
            </a:graphic>
          </wp:inline>
        </w:drawing>
      </w:r>
    </w:p>
    <w:p w14:paraId="590B61B0" w14:textId="415220D6" w:rsidR="002208C3" w:rsidRDefault="00E8742C">
      <w:r>
        <w:t>Jeffrey S. Smith, PhD</w:t>
      </w:r>
    </w:p>
    <w:p w14:paraId="24AF72CF" w14:textId="29A32487" w:rsidR="002208C3" w:rsidRDefault="00CE786F">
      <w:r>
        <w:t xml:space="preserve">Senior </w:t>
      </w:r>
      <w:r w:rsidR="00E8742C">
        <w:t>Fellow</w:t>
      </w:r>
      <w:r>
        <w:t xml:space="preserve">, </w:t>
      </w:r>
      <w:r w:rsidR="00AE7B93">
        <w:t>Integrative</w:t>
      </w:r>
      <w:r w:rsidR="00E8742C">
        <w:t xml:space="preserve"> Harm Reduction</w:t>
      </w:r>
    </w:p>
    <w:p w14:paraId="79D43FD2" w14:textId="77777777" w:rsidR="002208C3" w:rsidRDefault="00CE786F">
      <w:r>
        <w:t>R Street Institute</w:t>
      </w:r>
    </w:p>
    <w:p w14:paraId="374DA260" w14:textId="2FC51D4A" w:rsidR="002208C3" w:rsidRDefault="00AE7B93">
      <w:r w:rsidRPr="00AE7B93">
        <w:rPr>
          <w:rFonts w:asciiTheme="majorHAnsi" w:eastAsia="Times New Roman" w:hAnsiTheme="majorHAnsi" w:cstheme="majorHAnsi"/>
        </w:rPr>
        <w:t>jsmith@rstreet.org</w:t>
      </w:r>
    </w:p>
    <w:sectPr w:rsidR="002208C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8A068E" w14:textId="77777777" w:rsidR="00C6104D" w:rsidRDefault="00C6104D">
      <w:pPr>
        <w:spacing w:line="240" w:lineRule="auto"/>
      </w:pPr>
      <w:r>
        <w:separator/>
      </w:r>
    </w:p>
  </w:endnote>
  <w:endnote w:type="continuationSeparator" w:id="0">
    <w:p w14:paraId="6D86D92D" w14:textId="77777777" w:rsidR="00C6104D" w:rsidRDefault="00C610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3A179" w14:textId="77777777" w:rsidR="002208C3" w:rsidRDefault="002208C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D6FE2" w14:textId="77777777" w:rsidR="002208C3" w:rsidRDefault="002208C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7A541" w14:textId="77777777" w:rsidR="002208C3" w:rsidRDefault="002208C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A225C" w14:textId="77777777" w:rsidR="00C6104D" w:rsidRDefault="00C6104D">
      <w:pPr>
        <w:spacing w:line="240" w:lineRule="auto"/>
      </w:pPr>
      <w:r>
        <w:separator/>
      </w:r>
    </w:p>
  </w:footnote>
  <w:footnote w:type="continuationSeparator" w:id="0">
    <w:p w14:paraId="74F48071" w14:textId="77777777" w:rsidR="00C6104D" w:rsidRDefault="00C6104D">
      <w:pPr>
        <w:spacing w:line="240" w:lineRule="auto"/>
      </w:pPr>
      <w:r>
        <w:continuationSeparator/>
      </w:r>
    </w:p>
  </w:footnote>
  <w:footnote w:id="1">
    <w:p w14:paraId="32C07851" w14:textId="77777777" w:rsidR="00C32E4D" w:rsidRDefault="00C32E4D" w:rsidP="00C32E4D">
      <w:pPr>
        <w:pStyle w:val="FootnoteText"/>
      </w:pPr>
      <w:r>
        <w:rPr>
          <w:rStyle w:val="FootnoteReference"/>
        </w:rPr>
        <w:footnoteRef/>
      </w:r>
      <w:r>
        <w:t xml:space="preserve">Commonwealth of Massachusetts, “Annual Report of Multi-Agency Illegal Tobacco Task </w:t>
      </w:r>
      <w:proofErr w:type="gramStart"/>
      <w:r>
        <w:t xml:space="preserve">Force”   </w:t>
      </w:r>
      <w:proofErr w:type="gramEnd"/>
      <w:r w:rsidRPr="00C30987">
        <w:t>https://www.mass.gov/doc/task-force-fy23-annual-report/download</w:t>
      </w:r>
    </w:p>
  </w:footnote>
  <w:footnote w:id="2">
    <w:p w14:paraId="0E0DFAC2" w14:textId="77777777" w:rsidR="008569FB" w:rsidRDefault="008569FB" w:rsidP="008569FB">
      <w:pPr>
        <w:pStyle w:val="FootnoteText"/>
      </w:pPr>
      <w:r>
        <w:rPr>
          <w:rStyle w:val="FootnoteReference"/>
        </w:rPr>
        <w:footnoteRef/>
      </w:r>
      <w:r>
        <w:t xml:space="preserve"> </w:t>
      </w:r>
      <w:r w:rsidRPr="00C55D27">
        <w:t xml:space="preserve">Lunell, Erik, Karl Fagerström, John Hughes, and Robert </w:t>
      </w:r>
      <w:proofErr w:type="spellStart"/>
      <w:r w:rsidRPr="00C55D27">
        <w:t>Pendrill</w:t>
      </w:r>
      <w:proofErr w:type="spellEnd"/>
      <w:r w:rsidRPr="00C55D27">
        <w:t>. "Pharmacokinetic Comparison of a Novel Non-Tobacco-Based Nicotine Pouch (Zyn) with Conventional, Tobacco-Based Swedish Snus and American Moist Snuff." Nicotine and Tobacco Research 22, no. 10 (2020): 1757-63.</w:t>
      </w:r>
      <w:r>
        <w:t xml:space="preserve"> </w:t>
      </w:r>
      <w:r w:rsidRPr="00C55D27">
        <w:t>https://academic.oup.com/ntr/article-abstract/22/10/1757/5823724</w:t>
      </w:r>
    </w:p>
  </w:footnote>
  <w:footnote w:id="3">
    <w:p w14:paraId="4959A716" w14:textId="77777777" w:rsidR="008569FB" w:rsidRDefault="008569FB" w:rsidP="008569FB">
      <w:pPr>
        <w:pStyle w:val="FootnoteText"/>
      </w:pPr>
      <w:r>
        <w:rPr>
          <w:rStyle w:val="FootnoteReference"/>
        </w:rPr>
        <w:footnoteRef/>
      </w:r>
      <w:r>
        <w:t xml:space="preserve"> </w:t>
      </w:r>
      <w:r w:rsidRPr="00C55D27">
        <w:t>Azzopardi, David, Chuan Liu, and James Murphy. "Chemical Characterization of Tobacco-Free “Modern” Oral Nicotine Pouches and Their Position on the Toxicant and Risk Continuums." Drug and chemical toxicology 45, no. 5 (2022): 2246-54.</w:t>
      </w:r>
      <w:r>
        <w:t xml:space="preserve"> </w:t>
      </w:r>
      <w:r w:rsidRPr="00C55D27">
        <w:t>https://www.tandfonline.com/doi/abs/10.1080/01480545.2021.1925691</w:t>
      </w:r>
    </w:p>
  </w:footnote>
  <w:footnote w:id="4">
    <w:p w14:paraId="0F6BE331" w14:textId="77777777" w:rsidR="008569FB" w:rsidRDefault="008569FB" w:rsidP="008569FB">
      <w:pPr>
        <w:pStyle w:val="FootnoteText"/>
      </w:pPr>
      <w:r>
        <w:rPr>
          <w:rStyle w:val="FootnoteReference"/>
        </w:rPr>
        <w:footnoteRef/>
      </w:r>
      <w:r>
        <w:t xml:space="preserve"> </w:t>
      </w:r>
      <w:r w:rsidRPr="00E56F4E">
        <w:t>The Public Health Agency of Sweden. Use of Tobacco and Nicotine Products. Living Conditions and Lifestyle: Alcohol, Narcotics, Doping, Tobacco and Nicotine Products, and Gambling</w:t>
      </w:r>
      <w:r>
        <w:t xml:space="preserve">, </w:t>
      </w:r>
      <w:r w:rsidRPr="00E56F4E">
        <w:t>https://www.folkhalsomyndigheten.se/the-public-health-agency-of-sweden/living-conditions-and-lifestyle/andtg/tobacco/use-of-tobacco-and-nicotine-products/</w:t>
      </w:r>
    </w:p>
  </w:footnote>
  <w:footnote w:id="5">
    <w:p w14:paraId="38F78D5E" w14:textId="77777777" w:rsidR="008569FB" w:rsidRDefault="008569FB" w:rsidP="008569FB">
      <w:pPr>
        <w:pStyle w:val="FootnoteText"/>
      </w:pPr>
      <w:r>
        <w:rPr>
          <w:rStyle w:val="FootnoteReference"/>
        </w:rPr>
        <w:footnoteRef/>
      </w:r>
      <w:r>
        <w:t xml:space="preserve"> </w:t>
      </w:r>
      <w:r w:rsidRPr="00006B5B">
        <w:t>Daniel Roth, H, Adam B Roth, and Xiao Liu. "Health Risks of Smoking Compared to Swedish Snus." Inhalation toxicology 17, no. 13 (2005): 741-48.</w:t>
      </w:r>
      <w:r>
        <w:t xml:space="preserve"> </w:t>
      </w:r>
      <w:r w:rsidRPr="00884FBF">
        <w:t>https://www.tandfonline.com/doi/abs/10.1080/08958370500224698</w:t>
      </w:r>
    </w:p>
  </w:footnote>
  <w:footnote w:id="6">
    <w:p w14:paraId="0BF71C54" w14:textId="77777777" w:rsidR="008569FB" w:rsidRDefault="008569FB" w:rsidP="008569FB">
      <w:pPr>
        <w:pStyle w:val="FootnoteText"/>
      </w:pPr>
      <w:r>
        <w:rPr>
          <w:rStyle w:val="FootnoteReference"/>
        </w:rPr>
        <w:footnoteRef/>
      </w:r>
      <w:r>
        <w:t xml:space="preserve"> CBS News, </w:t>
      </w:r>
      <w:r w:rsidRPr="005C3685">
        <w:t>Schumer calls for federal action on Zyn nicotine pouches</w:t>
      </w:r>
      <w:r>
        <w:t xml:space="preserve">, </w:t>
      </w:r>
      <w:r w:rsidRPr="005C3685">
        <w:t>https://www.cbsnews.com/newyork/news/schumer-calls-for-federal-action-on-zyn-nicotine-pouches/</w:t>
      </w:r>
    </w:p>
  </w:footnote>
  <w:footnote w:id="7">
    <w:p w14:paraId="22067971" w14:textId="77777777" w:rsidR="008569FB" w:rsidRDefault="008569FB" w:rsidP="008569FB">
      <w:pPr>
        <w:pStyle w:val="FootnoteText"/>
      </w:pPr>
      <w:r>
        <w:rPr>
          <w:rStyle w:val="FootnoteReference"/>
        </w:rPr>
        <w:footnoteRef/>
      </w:r>
      <w:r>
        <w:t xml:space="preserve"> </w:t>
      </w:r>
      <w:r w:rsidRPr="00C55D27">
        <w:t xml:space="preserve">Stanfill, Stephen, Hang Tran, Robert </w:t>
      </w:r>
      <w:proofErr w:type="spellStart"/>
      <w:r w:rsidRPr="00C55D27">
        <w:t>Tyx</w:t>
      </w:r>
      <w:proofErr w:type="spellEnd"/>
      <w:r w:rsidRPr="00C55D27">
        <w:t xml:space="preserve">, Carolina Fernandez, </w:t>
      </w:r>
      <w:proofErr w:type="spellStart"/>
      <w:r w:rsidRPr="00C55D27">
        <w:t>Wanzhe</w:t>
      </w:r>
      <w:proofErr w:type="spellEnd"/>
      <w:r w:rsidRPr="00C55D27">
        <w:t xml:space="preserve"> Zhu, Kristy </w:t>
      </w:r>
      <w:proofErr w:type="spellStart"/>
      <w:r w:rsidRPr="00C55D27">
        <w:t>Marynak</w:t>
      </w:r>
      <w:proofErr w:type="spellEnd"/>
      <w:r w:rsidRPr="00C55D27">
        <w:t>, Brian King, et al. "Characterization of Total and Unprotonated (Free) Nicotine Content of Nicotine Pouch Products." Nicotine and Tobacco Research 23, no. 9 (2021): 1590-96.</w:t>
      </w:r>
      <w:r>
        <w:t xml:space="preserve"> </w:t>
      </w:r>
      <w:r w:rsidRPr="00C55D27">
        <w:t>https://academic.oup.com/ntr/article-abstract/23/9/1590/6285126</w:t>
      </w:r>
    </w:p>
  </w:footnote>
  <w:footnote w:id="8">
    <w:p w14:paraId="2226D4E2" w14:textId="77777777" w:rsidR="00C32E4D" w:rsidRDefault="00C32E4D" w:rsidP="00C32E4D">
      <w:pPr>
        <w:pStyle w:val="FootnoteText"/>
      </w:pPr>
      <w:r>
        <w:rPr>
          <w:rStyle w:val="FootnoteReference"/>
        </w:rPr>
        <w:footnoteRef/>
      </w:r>
      <w:r>
        <w:t xml:space="preserve"> </w:t>
      </w:r>
      <w:r w:rsidRPr="003E4911">
        <w:t xml:space="preserve">Grandolfo, Erika, Henry Ogden, Ian M Fearon, Layla Malt, Matthew Stevenson, Sarah Weaver, and Thomas Nahde. "Tobacco-Free Nicotine Pouches and Their Potential Contribution to Tobacco Harm Reduction: A Scoping Review." </w:t>
      </w:r>
      <w:proofErr w:type="spellStart"/>
      <w:r w:rsidRPr="003E4911">
        <w:t>Cureus</w:t>
      </w:r>
      <w:proofErr w:type="spellEnd"/>
      <w:r w:rsidRPr="003E4911">
        <w:t xml:space="preserve"> 16, no. 2 (2024).</w:t>
      </w:r>
      <w:r>
        <w:t xml:space="preserve"> </w:t>
      </w:r>
      <w:r w:rsidRPr="00E322CD">
        <w:t>https://www.ncbi.nlm.nih.gov/pmc/articles/PMC10944327/</w:t>
      </w:r>
    </w:p>
  </w:footnote>
  <w:footnote w:id="9">
    <w:p w14:paraId="599786C2" w14:textId="77777777" w:rsidR="00C70426" w:rsidRDefault="00C70426" w:rsidP="00C70426">
      <w:pPr>
        <w:pStyle w:val="FootnoteText"/>
      </w:pPr>
      <w:r>
        <w:rPr>
          <w:rStyle w:val="FootnoteReference"/>
        </w:rPr>
        <w:footnoteRef/>
      </w:r>
      <w:r>
        <w:t xml:space="preserve"> U.S. Food &amp; Drug Administration, “Tobacco 21”, </w:t>
      </w:r>
      <w:hyperlink r:id="rId1" w:history="1">
        <w:r w:rsidRPr="00263137">
          <w:rPr>
            <w:rStyle w:val="Hyperlink"/>
          </w:rPr>
          <w:t>https://www.fda.gov/tobacco-products/retail-sales-tobacco-products/tobacco-21</w:t>
        </w:r>
      </w:hyperlink>
    </w:p>
  </w:footnote>
  <w:footnote w:id="10">
    <w:p w14:paraId="2519A735" w14:textId="77777777" w:rsidR="00C70426" w:rsidRDefault="00C70426" w:rsidP="00C70426">
      <w:pPr>
        <w:pStyle w:val="FootnoteText"/>
      </w:pPr>
      <w:r>
        <w:rPr>
          <w:rStyle w:val="FootnoteReference"/>
        </w:rPr>
        <w:footnoteRef/>
      </w:r>
      <w:r>
        <w:t xml:space="preserve"> CDC/FDA, National Youth Tobacco Survey,</w:t>
      </w:r>
    </w:p>
    <w:p w14:paraId="643050DA" w14:textId="77777777" w:rsidR="00C70426" w:rsidRDefault="00C70426" w:rsidP="00C70426">
      <w:pPr>
        <w:pStyle w:val="FootnoteText"/>
      </w:pPr>
      <w:hyperlink r:id="rId2" w:history="1">
        <w:r w:rsidRPr="00A4144F">
          <w:rPr>
            <w:rStyle w:val="Hyperlink"/>
          </w:rPr>
          <w:t>https://www.cdc.gov/mmwr/volumes/72/wr/mm7244a1.htm?s_cid=mm7244a1_w</w:t>
        </w:r>
      </w:hyperlink>
      <w:r>
        <w:t xml:space="preserve"> </w:t>
      </w:r>
    </w:p>
  </w:footnote>
  <w:footnote w:id="11">
    <w:p w14:paraId="6F4C23FE" w14:textId="1CE118DB" w:rsidR="007145C4" w:rsidRDefault="007145C4">
      <w:pPr>
        <w:pStyle w:val="FootnoteText"/>
      </w:pPr>
      <w:r>
        <w:rPr>
          <w:rStyle w:val="FootnoteReference"/>
        </w:rPr>
        <w:footnoteRef/>
      </w:r>
      <w:r>
        <w:t xml:space="preserve"> </w:t>
      </w:r>
      <w:r w:rsidR="001D205F">
        <w:t xml:space="preserve">NACS, </w:t>
      </w:r>
      <w:proofErr w:type="spellStart"/>
      <w:r w:rsidR="001D205F">
        <w:t>Tru</w:t>
      </w:r>
      <w:r w:rsidR="00642729">
        <w:t>A</w:t>
      </w:r>
      <w:r w:rsidR="001D205F">
        <w:t>ge</w:t>
      </w:r>
      <w:proofErr w:type="spellEnd"/>
      <w:r w:rsidR="001D205F">
        <w:t xml:space="preserve"> </w:t>
      </w:r>
      <w:r w:rsidR="00642729">
        <w:t xml:space="preserve">Verification, </w:t>
      </w:r>
      <w:r w:rsidR="00642729" w:rsidRPr="00642729">
        <w:t>https://www.mytruage.org/</w:t>
      </w:r>
    </w:p>
  </w:footnote>
  <w:footnote w:id="12">
    <w:p w14:paraId="09A64BAD" w14:textId="77777777" w:rsidR="00FB1E28" w:rsidRDefault="00C57C09" w:rsidP="00FB1E28">
      <w:pPr>
        <w:pStyle w:val="FootnoteText"/>
      </w:pPr>
      <w:r>
        <w:rPr>
          <w:rStyle w:val="FootnoteReference"/>
        </w:rPr>
        <w:footnoteRef/>
      </w:r>
      <w:r>
        <w:t xml:space="preserve"> </w:t>
      </w:r>
      <w:r w:rsidR="00FB1E28">
        <w:t xml:space="preserve">CBS San Francisco, “Undercover Study: Half </w:t>
      </w:r>
      <w:proofErr w:type="gramStart"/>
      <w:r w:rsidR="00FB1E28">
        <w:t>Of</w:t>
      </w:r>
      <w:proofErr w:type="gramEnd"/>
      <w:r w:rsidR="00FB1E28">
        <w:t xml:space="preserve"> California Tobacco And Vape Shops Don't ID Teens,”</w:t>
      </w:r>
    </w:p>
    <w:p w14:paraId="40ACF5DE" w14:textId="44618072" w:rsidR="00C57C09" w:rsidRDefault="00FB1E28" w:rsidP="00FB1E28">
      <w:pPr>
        <w:pStyle w:val="FootnoteText"/>
      </w:pPr>
      <w:r>
        <w:t>https://www.cbsnews.com/sanfrancisco/news/undercover-study-tobacco-vape-shops-no-id-check-teens/</w:t>
      </w:r>
    </w:p>
  </w:footnote>
  <w:footnote w:id="13">
    <w:p w14:paraId="54237920" w14:textId="77777777" w:rsidR="00C32E4D" w:rsidRDefault="00C32E4D" w:rsidP="00C32E4D">
      <w:pPr>
        <w:pStyle w:val="FootnoteText"/>
      </w:pPr>
      <w:r>
        <w:rPr>
          <w:rStyle w:val="FootnoteReference"/>
        </w:rPr>
        <w:footnoteRef/>
      </w:r>
      <w:r>
        <w:t xml:space="preserve"> FDA-CTP, </w:t>
      </w:r>
      <w:r w:rsidRPr="00FA51B7">
        <w:t>Results from the Annual National Youth Tobacco Survey</w:t>
      </w:r>
      <w:r>
        <w:t xml:space="preserve">, </w:t>
      </w:r>
      <w:r w:rsidRPr="00FA51B7">
        <w:t>https://www.fda.gov/tobacco-products/youth-and-tobacco/results-annual-national-youth-tobacco-survey</w:t>
      </w:r>
    </w:p>
  </w:footnote>
  <w:footnote w:id="14">
    <w:p w14:paraId="3ACE618C" w14:textId="717C098F" w:rsidR="00285608" w:rsidRDefault="00285608">
      <w:pPr>
        <w:pStyle w:val="FootnoteText"/>
      </w:pPr>
      <w:r>
        <w:rPr>
          <w:rStyle w:val="FootnoteReference"/>
        </w:rPr>
        <w:footnoteRef/>
      </w:r>
      <w:r>
        <w:t xml:space="preserve"> NACS, </w:t>
      </w:r>
      <w:r w:rsidR="00F34894" w:rsidRPr="00F34894">
        <w:t>3 Potential Futures for the Backbar</w:t>
      </w:r>
      <w:r w:rsidR="00F34894">
        <w:t xml:space="preserve">, </w:t>
      </w:r>
      <w:r w:rsidR="00F34894" w:rsidRPr="00F34894">
        <w:t>https://www.convenience.org/Media/Daily/2024/June/17/2-3-Potential-Futures-for-the-Backbar_CatMan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E0959" w14:textId="77777777" w:rsidR="002208C3" w:rsidRDefault="002208C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0B07F" w14:textId="77777777" w:rsidR="002208C3" w:rsidRDefault="00CE786F">
    <w:pPr>
      <w:tabs>
        <w:tab w:val="center" w:pos="4680"/>
        <w:tab w:val="right" w:pos="9360"/>
      </w:tabs>
      <w:spacing w:before="720" w:line="240" w:lineRule="auto"/>
      <w:jc w:val="center"/>
    </w:pPr>
    <w:r>
      <w:rPr>
        <w:noProof/>
      </w:rPr>
      <w:drawing>
        <wp:inline distT="0" distB="0" distL="0" distR="0" wp14:anchorId="66460D25" wp14:editId="28733044">
          <wp:extent cx="914400" cy="555769"/>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25269"/>
                  <a:stretch>
                    <a:fillRect/>
                  </a:stretch>
                </pic:blipFill>
                <pic:spPr>
                  <a:xfrm>
                    <a:off x="0" y="0"/>
                    <a:ext cx="914400" cy="555769"/>
                  </a:xfrm>
                  <a:prstGeom prst="rect">
                    <a:avLst/>
                  </a:prstGeom>
                  <a:ln/>
                </pic:spPr>
              </pic:pic>
            </a:graphicData>
          </a:graphic>
        </wp:inline>
      </w:drawing>
    </w:r>
  </w:p>
  <w:p w14:paraId="61E0E821" w14:textId="77777777" w:rsidR="007E0157" w:rsidRDefault="004B26D9">
    <w:pPr>
      <w:tabs>
        <w:tab w:val="center" w:pos="4680"/>
        <w:tab w:val="right" w:pos="9360"/>
      </w:tabs>
      <w:spacing w:line="240" w:lineRule="auto"/>
      <w:rPr>
        <w:rFonts w:ascii="Times New Roman" w:eastAsia="Times New Roman" w:hAnsi="Times New Roman" w:cs="Times New Roman"/>
        <w:sz w:val="20"/>
        <w:szCs w:val="20"/>
      </w:rPr>
    </w:pPr>
    <w:r w:rsidRPr="004B26D9">
      <w:rPr>
        <w:rFonts w:ascii="Times New Roman" w:eastAsia="Times New Roman" w:hAnsi="Times New Roman" w:cs="Times New Roman"/>
        <w:sz w:val="20"/>
        <w:szCs w:val="20"/>
      </w:rPr>
      <w:t>1411 K Street N.W.</w:t>
    </w:r>
    <w:r>
      <w:rPr>
        <w:rFonts w:ascii="Times New Roman" w:eastAsia="Times New Roman" w:hAnsi="Times New Roman" w:cs="Times New Roman"/>
        <w:sz w:val="20"/>
        <w:szCs w:val="20"/>
      </w:rPr>
      <w:t xml:space="preserve"> </w:t>
    </w:r>
  </w:p>
  <w:p w14:paraId="7D01B7F6" w14:textId="1BA69CFA" w:rsidR="002208C3" w:rsidRDefault="00CE786F">
    <w:pPr>
      <w:tabs>
        <w:tab w:val="center" w:pos="4680"/>
        <w:tab w:val="right" w:pos="9360"/>
      </w:tabs>
      <w:spacing w:line="240" w:lineRule="auto"/>
    </w:pPr>
    <w:r>
      <w:rPr>
        <w:rFonts w:ascii="Times New Roman" w:eastAsia="Times New Roman" w:hAnsi="Times New Roman" w:cs="Times New Roman"/>
        <w:sz w:val="20"/>
        <w:szCs w:val="20"/>
      </w:rPr>
      <w:t>Suite 900</w:t>
    </w:r>
  </w:p>
  <w:p w14:paraId="45FB605D" w14:textId="77777777" w:rsidR="002208C3" w:rsidRDefault="00CE786F">
    <w:pPr>
      <w:tabs>
        <w:tab w:val="center" w:pos="4680"/>
        <w:tab w:val="right" w:pos="9360"/>
      </w:tabs>
      <w:spacing w:line="240" w:lineRule="auto"/>
    </w:pPr>
    <w:r>
      <w:rPr>
        <w:rFonts w:ascii="Times New Roman" w:eastAsia="Times New Roman" w:hAnsi="Times New Roman" w:cs="Times New Roman"/>
        <w:sz w:val="20"/>
        <w:szCs w:val="20"/>
      </w:rPr>
      <w:t>Washington, D.C. 20005</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b/>
        <w:i/>
        <w:sz w:val="20"/>
        <w:szCs w:val="20"/>
      </w:rPr>
      <w:t>Free Markets. Real Solutions.</w:t>
    </w:r>
  </w:p>
  <w:p w14:paraId="57AC9D56" w14:textId="77777777" w:rsidR="002208C3" w:rsidRDefault="00CE786F">
    <w:pPr>
      <w:tabs>
        <w:tab w:val="center" w:pos="4680"/>
        <w:tab w:val="right" w:pos="9360"/>
      </w:tabs>
      <w:spacing w:line="240" w:lineRule="auto"/>
    </w:pPr>
    <w:r>
      <w:rPr>
        <w:rFonts w:ascii="Times New Roman" w:eastAsia="Times New Roman" w:hAnsi="Times New Roman" w:cs="Times New Roman"/>
        <w:sz w:val="20"/>
        <w:szCs w:val="20"/>
      </w:rPr>
      <w:t>202-525-5717</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b/>
        <w:i/>
        <w:sz w:val="20"/>
        <w:szCs w:val="20"/>
      </w:rPr>
      <w:t>www.rstreet.org</w:t>
    </w:r>
  </w:p>
  <w:p w14:paraId="141CC602" w14:textId="77777777" w:rsidR="002208C3" w:rsidRDefault="002208C3">
    <w:pPr>
      <w:tabs>
        <w:tab w:val="center" w:pos="4680"/>
        <w:tab w:val="right" w:pos="9360"/>
      </w:tabs>
      <w:spacing w:line="240" w:lineRule="auto"/>
    </w:pPr>
  </w:p>
  <w:p w14:paraId="2EE5056E" w14:textId="77777777" w:rsidR="002208C3" w:rsidRDefault="00CE786F">
    <w:pPr>
      <w:tabs>
        <w:tab w:val="center" w:pos="4680"/>
        <w:tab w:val="right" w:pos="9360"/>
      </w:tabs>
      <w:spacing w:line="240" w:lineRule="auto"/>
    </w:pPr>
    <w:r>
      <w:rPr>
        <w:rFonts w:ascii="Times New Roman" w:eastAsia="Times New Roman" w:hAnsi="Times New Roman" w:cs="Times New Roman"/>
        <w:sz w:val="24"/>
        <w:szCs w:val="24"/>
      </w:rPr>
      <w:tab/>
    </w:r>
  </w:p>
  <w:p w14:paraId="230E2A79" w14:textId="77777777" w:rsidR="002208C3" w:rsidRDefault="002208C3">
    <w:pPr>
      <w:tabs>
        <w:tab w:val="center" w:pos="4680"/>
        <w:tab w:val="right" w:pos="9360"/>
      </w:tabs>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DCA3D" w14:textId="77777777" w:rsidR="002208C3" w:rsidRDefault="002208C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D6CE4"/>
    <w:multiLevelType w:val="hybridMultilevel"/>
    <w:tmpl w:val="8A00A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7850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4"/>
  <w:displayBackgroundShap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8C3"/>
    <w:rsid w:val="00006B5B"/>
    <w:rsid w:val="0001350B"/>
    <w:rsid w:val="00014BC1"/>
    <w:rsid w:val="00020C9E"/>
    <w:rsid w:val="000234D6"/>
    <w:rsid w:val="0002621F"/>
    <w:rsid w:val="00034379"/>
    <w:rsid w:val="00034BE3"/>
    <w:rsid w:val="000355FE"/>
    <w:rsid w:val="000378B6"/>
    <w:rsid w:val="000526EA"/>
    <w:rsid w:val="0005408A"/>
    <w:rsid w:val="000574CA"/>
    <w:rsid w:val="0006771C"/>
    <w:rsid w:val="00077A36"/>
    <w:rsid w:val="000840BB"/>
    <w:rsid w:val="0008686C"/>
    <w:rsid w:val="0009232F"/>
    <w:rsid w:val="00094284"/>
    <w:rsid w:val="000A3CE7"/>
    <w:rsid w:val="000B74AE"/>
    <w:rsid w:val="000C5B94"/>
    <w:rsid w:val="000C613C"/>
    <w:rsid w:val="000D0A01"/>
    <w:rsid w:val="000D0C87"/>
    <w:rsid w:val="000D6BA3"/>
    <w:rsid w:val="000F0EB0"/>
    <w:rsid w:val="000F5B6B"/>
    <w:rsid w:val="000F5BBF"/>
    <w:rsid w:val="001216A8"/>
    <w:rsid w:val="00132320"/>
    <w:rsid w:val="00140667"/>
    <w:rsid w:val="0014244F"/>
    <w:rsid w:val="00143F6F"/>
    <w:rsid w:val="001450B3"/>
    <w:rsid w:val="001639A0"/>
    <w:rsid w:val="00181595"/>
    <w:rsid w:val="00190D5F"/>
    <w:rsid w:val="00196DF0"/>
    <w:rsid w:val="001A10F7"/>
    <w:rsid w:val="001A15A5"/>
    <w:rsid w:val="001A296E"/>
    <w:rsid w:val="001A4AE7"/>
    <w:rsid w:val="001B5916"/>
    <w:rsid w:val="001C3E67"/>
    <w:rsid w:val="001D205F"/>
    <w:rsid w:val="001D4411"/>
    <w:rsid w:val="001D612E"/>
    <w:rsid w:val="001E18E3"/>
    <w:rsid w:val="001E786A"/>
    <w:rsid w:val="00200C2C"/>
    <w:rsid w:val="00201484"/>
    <w:rsid w:val="002100A1"/>
    <w:rsid w:val="00212896"/>
    <w:rsid w:val="002208C3"/>
    <w:rsid w:val="002225A2"/>
    <w:rsid w:val="00226A5B"/>
    <w:rsid w:val="0024336E"/>
    <w:rsid w:val="00252459"/>
    <w:rsid w:val="0025462D"/>
    <w:rsid w:val="00272891"/>
    <w:rsid w:val="00276081"/>
    <w:rsid w:val="00276C02"/>
    <w:rsid w:val="00281841"/>
    <w:rsid w:val="00282F0E"/>
    <w:rsid w:val="00282FCF"/>
    <w:rsid w:val="00285608"/>
    <w:rsid w:val="00290839"/>
    <w:rsid w:val="002A6F73"/>
    <w:rsid w:val="002A7381"/>
    <w:rsid w:val="002A74DA"/>
    <w:rsid w:val="002B3D37"/>
    <w:rsid w:val="002B3E01"/>
    <w:rsid w:val="002C48DA"/>
    <w:rsid w:val="002D177B"/>
    <w:rsid w:val="002D1F70"/>
    <w:rsid w:val="002D472B"/>
    <w:rsid w:val="002E0E2B"/>
    <w:rsid w:val="002E240B"/>
    <w:rsid w:val="002E43F8"/>
    <w:rsid w:val="002E5D15"/>
    <w:rsid w:val="002F0F57"/>
    <w:rsid w:val="002F2301"/>
    <w:rsid w:val="002F3C9F"/>
    <w:rsid w:val="002F5703"/>
    <w:rsid w:val="002F67A7"/>
    <w:rsid w:val="0031679C"/>
    <w:rsid w:val="00330F12"/>
    <w:rsid w:val="00335D14"/>
    <w:rsid w:val="003434C9"/>
    <w:rsid w:val="00346F6B"/>
    <w:rsid w:val="003569A7"/>
    <w:rsid w:val="00362307"/>
    <w:rsid w:val="0036306D"/>
    <w:rsid w:val="00363765"/>
    <w:rsid w:val="00364742"/>
    <w:rsid w:val="0037377E"/>
    <w:rsid w:val="00376B99"/>
    <w:rsid w:val="00377F76"/>
    <w:rsid w:val="003825F5"/>
    <w:rsid w:val="00395870"/>
    <w:rsid w:val="0039700A"/>
    <w:rsid w:val="003A7511"/>
    <w:rsid w:val="003C79F8"/>
    <w:rsid w:val="003D1DB9"/>
    <w:rsid w:val="003D5030"/>
    <w:rsid w:val="003D5DAB"/>
    <w:rsid w:val="003E4911"/>
    <w:rsid w:val="003E6963"/>
    <w:rsid w:val="003F3D0C"/>
    <w:rsid w:val="004008FE"/>
    <w:rsid w:val="00405783"/>
    <w:rsid w:val="00406A2C"/>
    <w:rsid w:val="0042520C"/>
    <w:rsid w:val="004316EC"/>
    <w:rsid w:val="00441626"/>
    <w:rsid w:val="00444511"/>
    <w:rsid w:val="00445B6A"/>
    <w:rsid w:val="00447D6A"/>
    <w:rsid w:val="00447EE3"/>
    <w:rsid w:val="00452FC6"/>
    <w:rsid w:val="004545FA"/>
    <w:rsid w:val="00454C64"/>
    <w:rsid w:val="004556CA"/>
    <w:rsid w:val="0046700F"/>
    <w:rsid w:val="004816FA"/>
    <w:rsid w:val="00481844"/>
    <w:rsid w:val="00482B0F"/>
    <w:rsid w:val="00485D36"/>
    <w:rsid w:val="00487877"/>
    <w:rsid w:val="00487EE3"/>
    <w:rsid w:val="00492AC4"/>
    <w:rsid w:val="004930BC"/>
    <w:rsid w:val="004A2F0F"/>
    <w:rsid w:val="004A5CAF"/>
    <w:rsid w:val="004A7A18"/>
    <w:rsid w:val="004B26D9"/>
    <w:rsid w:val="004C7CA7"/>
    <w:rsid w:val="004D1032"/>
    <w:rsid w:val="004D1E45"/>
    <w:rsid w:val="004D53FE"/>
    <w:rsid w:val="004D6190"/>
    <w:rsid w:val="004E2DB4"/>
    <w:rsid w:val="004E3752"/>
    <w:rsid w:val="004F0327"/>
    <w:rsid w:val="004F4E8C"/>
    <w:rsid w:val="0050365E"/>
    <w:rsid w:val="00506D0D"/>
    <w:rsid w:val="005114B2"/>
    <w:rsid w:val="00514C91"/>
    <w:rsid w:val="0051577E"/>
    <w:rsid w:val="005159AF"/>
    <w:rsid w:val="00515CB4"/>
    <w:rsid w:val="0053419F"/>
    <w:rsid w:val="00534673"/>
    <w:rsid w:val="00535651"/>
    <w:rsid w:val="00537CD2"/>
    <w:rsid w:val="0054652A"/>
    <w:rsid w:val="00547E60"/>
    <w:rsid w:val="0055029F"/>
    <w:rsid w:val="00554ABA"/>
    <w:rsid w:val="005626DE"/>
    <w:rsid w:val="0056573B"/>
    <w:rsid w:val="00570888"/>
    <w:rsid w:val="00571815"/>
    <w:rsid w:val="00574D7C"/>
    <w:rsid w:val="00576D82"/>
    <w:rsid w:val="00581942"/>
    <w:rsid w:val="005853BF"/>
    <w:rsid w:val="00592401"/>
    <w:rsid w:val="00592E38"/>
    <w:rsid w:val="00597CA4"/>
    <w:rsid w:val="005A45B8"/>
    <w:rsid w:val="005B02C9"/>
    <w:rsid w:val="005B0E52"/>
    <w:rsid w:val="005C2476"/>
    <w:rsid w:val="005C33D3"/>
    <w:rsid w:val="005C3685"/>
    <w:rsid w:val="005E1157"/>
    <w:rsid w:val="005F3968"/>
    <w:rsid w:val="006034CA"/>
    <w:rsid w:val="00604882"/>
    <w:rsid w:val="00607AC4"/>
    <w:rsid w:val="00610C98"/>
    <w:rsid w:val="00615CB2"/>
    <w:rsid w:val="0061647E"/>
    <w:rsid w:val="00620978"/>
    <w:rsid w:val="00621DA5"/>
    <w:rsid w:val="00622CA8"/>
    <w:rsid w:val="00622D2A"/>
    <w:rsid w:val="006245EB"/>
    <w:rsid w:val="00625098"/>
    <w:rsid w:val="0063304D"/>
    <w:rsid w:val="00642729"/>
    <w:rsid w:val="00643ED1"/>
    <w:rsid w:val="0064568E"/>
    <w:rsid w:val="00647282"/>
    <w:rsid w:val="00657471"/>
    <w:rsid w:val="006700E1"/>
    <w:rsid w:val="00676401"/>
    <w:rsid w:val="00676FE5"/>
    <w:rsid w:val="006855F7"/>
    <w:rsid w:val="00694771"/>
    <w:rsid w:val="00696C69"/>
    <w:rsid w:val="00697947"/>
    <w:rsid w:val="006A1614"/>
    <w:rsid w:val="006A6CF9"/>
    <w:rsid w:val="006B052A"/>
    <w:rsid w:val="006D0B78"/>
    <w:rsid w:val="006D5D57"/>
    <w:rsid w:val="006E5D54"/>
    <w:rsid w:val="007018C8"/>
    <w:rsid w:val="00703154"/>
    <w:rsid w:val="007145C4"/>
    <w:rsid w:val="00733D2A"/>
    <w:rsid w:val="00735309"/>
    <w:rsid w:val="00741175"/>
    <w:rsid w:val="00746D35"/>
    <w:rsid w:val="00752803"/>
    <w:rsid w:val="0075439E"/>
    <w:rsid w:val="00765C54"/>
    <w:rsid w:val="00773E6E"/>
    <w:rsid w:val="00791746"/>
    <w:rsid w:val="00797AD1"/>
    <w:rsid w:val="007A1047"/>
    <w:rsid w:val="007A1B78"/>
    <w:rsid w:val="007A2588"/>
    <w:rsid w:val="007A33D2"/>
    <w:rsid w:val="007A3CCC"/>
    <w:rsid w:val="007B0B6A"/>
    <w:rsid w:val="007B1379"/>
    <w:rsid w:val="007B51FB"/>
    <w:rsid w:val="007C6DF5"/>
    <w:rsid w:val="007D21A5"/>
    <w:rsid w:val="007E0157"/>
    <w:rsid w:val="007E18D9"/>
    <w:rsid w:val="007E3BB1"/>
    <w:rsid w:val="007F0BFD"/>
    <w:rsid w:val="007F33DD"/>
    <w:rsid w:val="007F54DE"/>
    <w:rsid w:val="00800222"/>
    <w:rsid w:val="00804B91"/>
    <w:rsid w:val="00811919"/>
    <w:rsid w:val="00812C37"/>
    <w:rsid w:val="00813419"/>
    <w:rsid w:val="00814D0C"/>
    <w:rsid w:val="00821625"/>
    <w:rsid w:val="00824B5A"/>
    <w:rsid w:val="008321DA"/>
    <w:rsid w:val="008328D9"/>
    <w:rsid w:val="0083342E"/>
    <w:rsid w:val="00836339"/>
    <w:rsid w:val="00844DA3"/>
    <w:rsid w:val="00845392"/>
    <w:rsid w:val="00847328"/>
    <w:rsid w:val="008555F5"/>
    <w:rsid w:val="008569FB"/>
    <w:rsid w:val="00862684"/>
    <w:rsid w:val="008675A4"/>
    <w:rsid w:val="0087099D"/>
    <w:rsid w:val="00876E53"/>
    <w:rsid w:val="008848AC"/>
    <w:rsid w:val="00884FBF"/>
    <w:rsid w:val="008944CF"/>
    <w:rsid w:val="008963EB"/>
    <w:rsid w:val="008966DF"/>
    <w:rsid w:val="008A1128"/>
    <w:rsid w:val="008A3002"/>
    <w:rsid w:val="008A5A27"/>
    <w:rsid w:val="008B106D"/>
    <w:rsid w:val="008B3E45"/>
    <w:rsid w:val="008C7094"/>
    <w:rsid w:val="008D026E"/>
    <w:rsid w:val="008D7153"/>
    <w:rsid w:val="008E42C9"/>
    <w:rsid w:val="008E49ED"/>
    <w:rsid w:val="008F5AE1"/>
    <w:rsid w:val="008F5AE5"/>
    <w:rsid w:val="008F730F"/>
    <w:rsid w:val="008F7431"/>
    <w:rsid w:val="00901C93"/>
    <w:rsid w:val="00905BB8"/>
    <w:rsid w:val="00917A64"/>
    <w:rsid w:val="00922840"/>
    <w:rsid w:val="00933D9A"/>
    <w:rsid w:val="009355D7"/>
    <w:rsid w:val="009371A0"/>
    <w:rsid w:val="0093721F"/>
    <w:rsid w:val="00941E9A"/>
    <w:rsid w:val="00974404"/>
    <w:rsid w:val="00977611"/>
    <w:rsid w:val="00983692"/>
    <w:rsid w:val="009A12E9"/>
    <w:rsid w:val="009A7844"/>
    <w:rsid w:val="009B02B9"/>
    <w:rsid w:val="009B3F2E"/>
    <w:rsid w:val="009B7F7C"/>
    <w:rsid w:val="009C352F"/>
    <w:rsid w:val="009D22B5"/>
    <w:rsid w:val="009E0998"/>
    <w:rsid w:val="009E514A"/>
    <w:rsid w:val="009E5D9F"/>
    <w:rsid w:val="009F4A6F"/>
    <w:rsid w:val="00A02563"/>
    <w:rsid w:val="00A12587"/>
    <w:rsid w:val="00A12EE4"/>
    <w:rsid w:val="00A16968"/>
    <w:rsid w:val="00A16DDA"/>
    <w:rsid w:val="00A23338"/>
    <w:rsid w:val="00A2509B"/>
    <w:rsid w:val="00A33424"/>
    <w:rsid w:val="00A37B2B"/>
    <w:rsid w:val="00A414A6"/>
    <w:rsid w:val="00A422F4"/>
    <w:rsid w:val="00A45EB0"/>
    <w:rsid w:val="00A47520"/>
    <w:rsid w:val="00A53EE6"/>
    <w:rsid w:val="00A6146A"/>
    <w:rsid w:val="00A62C56"/>
    <w:rsid w:val="00A63C25"/>
    <w:rsid w:val="00A77264"/>
    <w:rsid w:val="00A83AEA"/>
    <w:rsid w:val="00A862E9"/>
    <w:rsid w:val="00A863F8"/>
    <w:rsid w:val="00A93803"/>
    <w:rsid w:val="00A94284"/>
    <w:rsid w:val="00AA4393"/>
    <w:rsid w:val="00AB1A71"/>
    <w:rsid w:val="00AB1B0B"/>
    <w:rsid w:val="00AB3C1B"/>
    <w:rsid w:val="00AE02B6"/>
    <w:rsid w:val="00AE1576"/>
    <w:rsid w:val="00AE7B93"/>
    <w:rsid w:val="00AF3227"/>
    <w:rsid w:val="00AF42EC"/>
    <w:rsid w:val="00AF4C1B"/>
    <w:rsid w:val="00AF6295"/>
    <w:rsid w:val="00B02857"/>
    <w:rsid w:val="00B216B6"/>
    <w:rsid w:val="00B23941"/>
    <w:rsid w:val="00B247E7"/>
    <w:rsid w:val="00B24F4F"/>
    <w:rsid w:val="00B25B0A"/>
    <w:rsid w:val="00B307D7"/>
    <w:rsid w:val="00B3298B"/>
    <w:rsid w:val="00B36808"/>
    <w:rsid w:val="00B416AA"/>
    <w:rsid w:val="00B43B32"/>
    <w:rsid w:val="00B46185"/>
    <w:rsid w:val="00B539EF"/>
    <w:rsid w:val="00B571EE"/>
    <w:rsid w:val="00B651DE"/>
    <w:rsid w:val="00B83704"/>
    <w:rsid w:val="00B8647E"/>
    <w:rsid w:val="00B9217E"/>
    <w:rsid w:val="00BA5070"/>
    <w:rsid w:val="00BB612A"/>
    <w:rsid w:val="00BC020F"/>
    <w:rsid w:val="00BC3CA2"/>
    <w:rsid w:val="00BC61CA"/>
    <w:rsid w:val="00BE1143"/>
    <w:rsid w:val="00BE36EC"/>
    <w:rsid w:val="00BE41D6"/>
    <w:rsid w:val="00BF357B"/>
    <w:rsid w:val="00BF6360"/>
    <w:rsid w:val="00C0460A"/>
    <w:rsid w:val="00C0585A"/>
    <w:rsid w:val="00C10D10"/>
    <w:rsid w:val="00C15862"/>
    <w:rsid w:val="00C15ED0"/>
    <w:rsid w:val="00C22D85"/>
    <w:rsid w:val="00C255F3"/>
    <w:rsid w:val="00C30987"/>
    <w:rsid w:val="00C32E4D"/>
    <w:rsid w:val="00C3390E"/>
    <w:rsid w:val="00C42528"/>
    <w:rsid w:val="00C42CF4"/>
    <w:rsid w:val="00C446AC"/>
    <w:rsid w:val="00C52242"/>
    <w:rsid w:val="00C56E11"/>
    <w:rsid w:val="00C57C09"/>
    <w:rsid w:val="00C6104D"/>
    <w:rsid w:val="00C70426"/>
    <w:rsid w:val="00C71492"/>
    <w:rsid w:val="00C9347A"/>
    <w:rsid w:val="00C977BD"/>
    <w:rsid w:val="00CA36B4"/>
    <w:rsid w:val="00CB566B"/>
    <w:rsid w:val="00CB73BA"/>
    <w:rsid w:val="00CB74D7"/>
    <w:rsid w:val="00CD11D0"/>
    <w:rsid w:val="00CD4608"/>
    <w:rsid w:val="00CE1132"/>
    <w:rsid w:val="00CE582F"/>
    <w:rsid w:val="00CE7370"/>
    <w:rsid w:val="00CE786F"/>
    <w:rsid w:val="00CF0ED2"/>
    <w:rsid w:val="00CF10A0"/>
    <w:rsid w:val="00CF75E7"/>
    <w:rsid w:val="00D043CE"/>
    <w:rsid w:val="00D0583C"/>
    <w:rsid w:val="00D142BE"/>
    <w:rsid w:val="00D14BE7"/>
    <w:rsid w:val="00D26ABB"/>
    <w:rsid w:val="00D30D45"/>
    <w:rsid w:val="00D37331"/>
    <w:rsid w:val="00D44347"/>
    <w:rsid w:val="00D56110"/>
    <w:rsid w:val="00D566C3"/>
    <w:rsid w:val="00D61E83"/>
    <w:rsid w:val="00D62520"/>
    <w:rsid w:val="00D63484"/>
    <w:rsid w:val="00D63DDE"/>
    <w:rsid w:val="00D7051C"/>
    <w:rsid w:val="00D7701E"/>
    <w:rsid w:val="00D810D7"/>
    <w:rsid w:val="00D81B37"/>
    <w:rsid w:val="00D81B68"/>
    <w:rsid w:val="00D82A80"/>
    <w:rsid w:val="00D859C6"/>
    <w:rsid w:val="00D866B4"/>
    <w:rsid w:val="00D92AC2"/>
    <w:rsid w:val="00DA742B"/>
    <w:rsid w:val="00DB3D3C"/>
    <w:rsid w:val="00DB6C92"/>
    <w:rsid w:val="00DC382A"/>
    <w:rsid w:val="00DE06CB"/>
    <w:rsid w:val="00DE57EB"/>
    <w:rsid w:val="00E072F4"/>
    <w:rsid w:val="00E1021E"/>
    <w:rsid w:val="00E24357"/>
    <w:rsid w:val="00E322CD"/>
    <w:rsid w:val="00E3505B"/>
    <w:rsid w:val="00E3787A"/>
    <w:rsid w:val="00E43298"/>
    <w:rsid w:val="00E43B1B"/>
    <w:rsid w:val="00E45C8D"/>
    <w:rsid w:val="00E46D40"/>
    <w:rsid w:val="00E52512"/>
    <w:rsid w:val="00E53EB0"/>
    <w:rsid w:val="00E53FD2"/>
    <w:rsid w:val="00E5494E"/>
    <w:rsid w:val="00E56F4E"/>
    <w:rsid w:val="00E57599"/>
    <w:rsid w:val="00E64CF9"/>
    <w:rsid w:val="00E65EDB"/>
    <w:rsid w:val="00E66E34"/>
    <w:rsid w:val="00E737DF"/>
    <w:rsid w:val="00E846F9"/>
    <w:rsid w:val="00E85229"/>
    <w:rsid w:val="00E8742C"/>
    <w:rsid w:val="00EA3089"/>
    <w:rsid w:val="00EA5D50"/>
    <w:rsid w:val="00EB305C"/>
    <w:rsid w:val="00EF2AC2"/>
    <w:rsid w:val="00EF373B"/>
    <w:rsid w:val="00EF633C"/>
    <w:rsid w:val="00EF7EA8"/>
    <w:rsid w:val="00F00136"/>
    <w:rsid w:val="00F00E93"/>
    <w:rsid w:val="00F04C05"/>
    <w:rsid w:val="00F2024E"/>
    <w:rsid w:val="00F22C1A"/>
    <w:rsid w:val="00F30491"/>
    <w:rsid w:val="00F30EA1"/>
    <w:rsid w:val="00F32868"/>
    <w:rsid w:val="00F346F4"/>
    <w:rsid w:val="00F34894"/>
    <w:rsid w:val="00F51EB8"/>
    <w:rsid w:val="00F60A2E"/>
    <w:rsid w:val="00F61BDE"/>
    <w:rsid w:val="00F63455"/>
    <w:rsid w:val="00F6445B"/>
    <w:rsid w:val="00F802E4"/>
    <w:rsid w:val="00F8033B"/>
    <w:rsid w:val="00FA15B7"/>
    <w:rsid w:val="00FA51B7"/>
    <w:rsid w:val="00FB1E28"/>
    <w:rsid w:val="00FC15E8"/>
    <w:rsid w:val="00FC41D0"/>
    <w:rsid w:val="00FD18A4"/>
    <w:rsid w:val="00FD1FDE"/>
    <w:rsid w:val="00FD3E36"/>
    <w:rsid w:val="00FD6A51"/>
    <w:rsid w:val="00FE3847"/>
    <w:rsid w:val="00FE5484"/>
    <w:rsid w:val="00FF11C6"/>
    <w:rsid w:val="00FF1A9E"/>
    <w:rsid w:val="00FF364E"/>
    <w:rsid w:val="00FF455A"/>
    <w:rsid w:val="00FF7805"/>
    <w:rsid w:val="00FF7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0065B3"/>
  <w15:docId w15:val="{72697253-BD11-0E4C-973B-AC799CFA5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EF361F"/>
    <w:rPr>
      <w:sz w:val="16"/>
      <w:szCs w:val="16"/>
    </w:rPr>
  </w:style>
  <w:style w:type="paragraph" w:styleId="CommentText">
    <w:name w:val="annotation text"/>
    <w:basedOn w:val="Normal"/>
    <w:link w:val="CommentTextChar"/>
    <w:uiPriority w:val="99"/>
    <w:unhideWhenUsed/>
    <w:rsid w:val="00EF361F"/>
    <w:pPr>
      <w:spacing w:line="240" w:lineRule="auto"/>
    </w:pPr>
    <w:rPr>
      <w:sz w:val="20"/>
      <w:szCs w:val="20"/>
    </w:rPr>
  </w:style>
  <w:style w:type="character" w:customStyle="1" w:styleId="CommentTextChar">
    <w:name w:val="Comment Text Char"/>
    <w:basedOn w:val="DefaultParagraphFont"/>
    <w:link w:val="CommentText"/>
    <w:uiPriority w:val="99"/>
    <w:rsid w:val="00EF361F"/>
    <w:rPr>
      <w:sz w:val="20"/>
      <w:szCs w:val="20"/>
    </w:rPr>
  </w:style>
  <w:style w:type="paragraph" w:styleId="CommentSubject">
    <w:name w:val="annotation subject"/>
    <w:basedOn w:val="CommentText"/>
    <w:next w:val="CommentText"/>
    <w:link w:val="CommentSubjectChar"/>
    <w:uiPriority w:val="99"/>
    <w:semiHidden/>
    <w:unhideWhenUsed/>
    <w:rsid w:val="00EF361F"/>
    <w:rPr>
      <w:b/>
      <w:bCs/>
    </w:rPr>
  </w:style>
  <w:style w:type="character" w:customStyle="1" w:styleId="CommentSubjectChar">
    <w:name w:val="Comment Subject Char"/>
    <w:basedOn w:val="CommentTextChar"/>
    <w:link w:val="CommentSubject"/>
    <w:uiPriority w:val="99"/>
    <w:semiHidden/>
    <w:rsid w:val="00EF361F"/>
    <w:rPr>
      <w:b/>
      <w:bCs/>
      <w:sz w:val="20"/>
      <w:szCs w:val="20"/>
    </w:rPr>
  </w:style>
  <w:style w:type="paragraph" w:styleId="BalloonText">
    <w:name w:val="Balloon Text"/>
    <w:basedOn w:val="Normal"/>
    <w:link w:val="BalloonTextChar"/>
    <w:uiPriority w:val="99"/>
    <w:semiHidden/>
    <w:unhideWhenUsed/>
    <w:rsid w:val="00EF361F"/>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361F"/>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CF3DBE"/>
    <w:pPr>
      <w:spacing w:line="240" w:lineRule="auto"/>
    </w:pPr>
    <w:rPr>
      <w:sz w:val="20"/>
      <w:szCs w:val="20"/>
    </w:rPr>
  </w:style>
  <w:style w:type="character" w:customStyle="1" w:styleId="FootnoteTextChar">
    <w:name w:val="Footnote Text Char"/>
    <w:basedOn w:val="DefaultParagraphFont"/>
    <w:link w:val="FootnoteText"/>
    <w:uiPriority w:val="99"/>
    <w:semiHidden/>
    <w:rsid w:val="00CF3DBE"/>
    <w:rPr>
      <w:sz w:val="20"/>
      <w:szCs w:val="20"/>
    </w:rPr>
  </w:style>
  <w:style w:type="paragraph" w:styleId="EndnoteText">
    <w:name w:val="endnote text"/>
    <w:basedOn w:val="Normal"/>
    <w:link w:val="EndnoteTextChar"/>
    <w:uiPriority w:val="99"/>
    <w:semiHidden/>
    <w:unhideWhenUsed/>
    <w:rsid w:val="00CF3DBE"/>
    <w:pPr>
      <w:spacing w:line="240" w:lineRule="auto"/>
    </w:pPr>
    <w:rPr>
      <w:sz w:val="20"/>
      <w:szCs w:val="20"/>
    </w:rPr>
  </w:style>
  <w:style w:type="character" w:customStyle="1" w:styleId="EndnoteTextChar">
    <w:name w:val="Endnote Text Char"/>
    <w:basedOn w:val="DefaultParagraphFont"/>
    <w:link w:val="EndnoteText"/>
    <w:uiPriority w:val="99"/>
    <w:semiHidden/>
    <w:rsid w:val="00CF3DBE"/>
    <w:rPr>
      <w:sz w:val="20"/>
      <w:szCs w:val="20"/>
    </w:rPr>
  </w:style>
  <w:style w:type="character" w:styleId="FootnoteReference">
    <w:name w:val="footnote reference"/>
    <w:basedOn w:val="DefaultParagraphFont"/>
    <w:uiPriority w:val="99"/>
    <w:semiHidden/>
    <w:unhideWhenUsed/>
    <w:rsid w:val="00CF3DBE"/>
    <w:rPr>
      <w:vertAlign w:val="superscript"/>
    </w:rPr>
  </w:style>
  <w:style w:type="character" w:styleId="EndnoteReference">
    <w:name w:val="endnote reference"/>
    <w:basedOn w:val="DefaultParagraphFont"/>
    <w:uiPriority w:val="99"/>
    <w:semiHidden/>
    <w:unhideWhenUsed/>
    <w:rsid w:val="00CF3DBE"/>
    <w:rPr>
      <w:vertAlign w:val="superscript"/>
    </w:rPr>
  </w:style>
  <w:style w:type="character" w:styleId="Hyperlink">
    <w:name w:val="Hyperlink"/>
    <w:basedOn w:val="DefaultParagraphFont"/>
    <w:uiPriority w:val="99"/>
    <w:unhideWhenUsed/>
    <w:rsid w:val="008B40BE"/>
    <w:rPr>
      <w:color w:val="0000FF" w:themeColor="hyperlink"/>
      <w:u w:val="single"/>
    </w:rPr>
  </w:style>
  <w:style w:type="character" w:customStyle="1" w:styleId="UnresolvedMention1">
    <w:name w:val="Unresolved Mention1"/>
    <w:basedOn w:val="DefaultParagraphFont"/>
    <w:uiPriority w:val="99"/>
    <w:semiHidden/>
    <w:unhideWhenUsed/>
    <w:rsid w:val="008B40BE"/>
    <w:rPr>
      <w:color w:val="605E5C"/>
      <w:shd w:val="clear" w:color="auto" w:fill="E1DFDD"/>
    </w:rPr>
  </w:style>
  <w:style w:type="character" w:styleId="FollowedHyperlink">
    <w:name w:val="FollowedHyperlink"/>
    <w:basedOn w:val="DefaultParagraphFont"/>
    <w:uiPriority w:val="99"/>
    <w:semiHidden/>
    <w:unhideWhenUsed/>
    <w:rsid w:val="00C6635A"/>
    <w:rPr>
      <w:color w:val="800080" w:themeColor="followedHyperlink"/>
      <w:u w:val="single"/>
    </w:rPr>
  </w:style>
  <w:style w:type="paragraph" w:styleId="ListParagraph">
    <w:name w:val="List Paragraph"/>
    <w:basedOn w:val="Normal"/>
    <w:uiPriority w:val="34"/>
    <w:qFormat/>
    <w:rsid w:val="00455CE7"/>
    <w:pPr>
      <w:spacing w:line="240" w:lineRule="auto"/>
      <w:ind w:left="720"/>
      <w:contextualSpacing/>
    </w:pPr>
    <w:rPr>
      <w:rFonts w:asciiTheme="minorHAnsi" w:eastAsiaTheme="minorHAnsi" w:hAnsiTheme="minorHAnsi" w:cstheme="minorBidi"/>
      <w:sz w:val="24"/>
      <w:szCs w:val="24"/>
    </w:rPr>
  </w:style>
  <w:style w:type="character" w:customStyle="1" w:styleId="Title1">
    <w:name w:val="Title1"/>
    <w:basedOn w:val="DefaultParagraphFont"/>
    <w:rsid w:val="00867A04"/>
  </w:style>
  <w:style w:type="character" w:customStyle="1" w:styleId="UnresolvedMention2">
    <w:name w:val="Unresolved Mention2"/>
    <w:basedOn w:val="DefaultParagraphFont"/>
    <w:uiPriority w:val="99"/>
    <w:semiHidden/>
    <w:unhideWhenUsed/>
    <w:rsid w:val="00612A8C"/>
    <w:rPr>
      <w:color w:val="605E5C"/>
      <w:shd w:val="clear" w:color="auto" w:fill="E1DFDD"/>
    </w:rPr>
  </w:style>
  <w:style w:type="character" w:customStyle="1" w:styleId="UnresolvedMention3">
    <w:name w:val="Unresolved Mention3"/>
    <w:basedOn w:val="DefaultParagraphFont"/>
    <w:uiPriority w:val="99"/>
    <w:semiHidden/>
    <w:unhideWhenUsed/>
    <w:rsid w:val="00504296"/>
    <w:rPr>
      <w:color w:val="605E5C"/>
      <w:shd w:val="clear" w:color="auto" w:fill="E1DFDD"/>
    </w:rPr>
  </w:style>
  <w:style w:type="paragraph" w:styleId="Revision">
    <w:name w:val="Revision"/>
    <w:hidden/>
    <w:uiPriority w:val="99"/>
    <w:semiHidden/>
    <w:rsid w:val="004A4FB7"/>
    <w:pPr>
      <w:spacing w:line="240" w:lineRule="auto"/>
    </w:pPr>
  </w:style>
  <w:style w:type="character" w:customStyle="1" w:styleId="UnresolvedMention4">
    <w:name w:val="Unresolved Mention4"/>
    <w:basedOn w:val="DefaultParagraphFont"/>
    <w:uiPriority w:val="99"/>
    <w:semiHidden/>
    <w:unhideWhenUsed/>
    <w:rsid w:val="00A53650"/>
    <w:rPr>
      <w:color w:val="605E5C"/>
      <w:shd w:val="clear" w:color="auto" w:fill="E1DFDD"/>
    </w:rPr>
  </w:style>
  <w:style w:type="character" w:customStyle="1" w:styleId="UnresolvedMention5">
    <w:name w:val="Unresolved Mention5"/>
    <w:basedOn w:val="DefaultParagraphFont"/>
    <w:uiPriority w:val="99"/>
    <w:semiHidden/>
    <w:unhideWhenUsed/>
    <w:rsid w:val="00EB30B8"/>
    <w:rPr>
      <w:color w:val="605E5C"/>
      <w:shd w:val="clear" w:color="auto" w:fill="E1DFDD"/>
    </w:rPr>
  </w:style>
  <w:style w:type="character" w:customStyle="1" w:styleId="apple-converted-space">
    <w:name w:val="apple-converted-space"/>
    <w:basedOn w:val="DefaultParagraphFont"/>
    <w:rsid w:val="00790ED3"/>
  </w:style>
  <w:style w:type="character" w:customStyle="1" w:styleId="UnresolvedMention6">
    <w:name w:val="Unresolved Mention6"/>
    <w:basedOn w:val="DefaultParagraphFont"/>
    <w:uiPriority w:val="99"/>
    <w:semiHidden/>
    <w:unhideWhenUsed/>
    <w:rsid w:val="009F4AD8"/>
    <w:rPr>
      <w:color w:val="605E5C"/>
      <w:shd w:val="clear" w:color="auto" w:fill="E1DFDD"/>
    </w:rPr>
  </w:style>
  <w:style w:type="character" w:styleId="Emphasis">
    <w:name w:val="Emphasis"/>
    <w:basedOn w:val="DefaultParagraphFont"/>
    <w:uiPriority w:val="20"/>
    <w:qFormat/>
    <w:rsid w:val="00E140C8"/>
    <w:rPr>
      <w:i/>
      <w:iCs/>
    </w:rPr>
  </w:style>
  <w:style w:type="character" w:customStyle="1" w:styleId="UnresolvedMention7">
    <w:name w:val="Unresolved Mention7"/>
    <w:basedOn w:val="DefaultParagraphFont"/>
    <w:uiPriority w:val="99"/>
    <w:semiHidden/>
    <w:unhideWhenUsed/>
    <w:rsid w:val="007B0EDE"/>
    <w:rPr>
      <w:color w:val="605E5C"/>
      <w:shd w:val="clear" w:color="auto" w:fill="E1DFDD"/>
    </w:rPr>
  </w:style>
  <w:style w:type="character" w:customStyle="1" w:styleId="UnresolvedMention8">
    <w:name w:val="Unresolved Mention8"/>
    <w:basedOn w:val="DefaultParagraphFont"/>
    <w:uiPriority w:val="99"/>
    <w:semiHidden/>
    <w:unhideWhenUsed/>
    <w:rsid w:val="00660FEC"/>
    <w:rPr>
      <w:color w:val="605E5C"/>
      <w:shd w:val="clear" w:color="auto" w:fill="E1DFDD"/>
    </w:rPr>
  </w:style>
  <w:style w:type="character" w:styleId="UnresolvedMention">
    <w:name w:val="Unresolved Mention"/>
    <w:basedOn w:val="DefaultParagraphFont"/>
    <w:uiPriority w:val="99"/>
    <w:semiHidden/>
    <w:unhideWhenUsed/>
    <w:rsid w:val="00024EFA"/>
    <w:rPr>
      <w:color w:val="605E5C"/>
      <w:shd w:val="clear" w:color="auto" w:fill="E1DFDD"/>
    </w:rPr>
  </w:style>
  <w:style w:type="paragraph" w:styleId="NormalWeb">
    <w:name w:val="Normal (Web)"/>
    <w:basedOn w:val="Normal"/>
    <w:uiPriority w:val="99"/>
    <w:unhideWhenUsed/>
    <w:rsid w:val="007610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329927">
      <w:bodyDiv w:val="1"/>
      <w:marLeft w:val="0"/>
      <w:marRight w:val="0"/>
      <w:marTop w:val="0"/>
      <w:marBottom w:val="0"/>
      <w:divBdr>
        <w:top w:val="none" w:sz="0" w:space="0" w:color="auto"/>
        <w:left w:val="none" w:sz="0" w:space="0" w:color="auto"/>
        <w:bottom w:val="none" w:sz="0" w:space="0" w:color="auto"/>
        <w:right w:val="none" w:sz="0" w:space="0" w:color="auto"/>
      </w:divBdr>
    </w:div>
    <w:div w:id="206768645">
      <w:bodyDiv w:val="1"/>
      <w:marLeft w:val="0"/>
      <w:marRight w:val="0"/>
      <w:marTop w:val="0"/>
      <w:marBottom w:val="0"/>
      <w:divBdr>
        <w:top w:val="none" w:sz="0" w:space="0" w:color="auto"/>
        <w:left w:val="none" w:sz="0" w:space="0" w:color="auto"/>
        <w:bottom w:val="none" w:sz="0" w:space="0" w:color="auto"/>
        <w:right w:val="none" w:sz="0" w:space="0" w:color="auto"/>
      </w:divBdr>
    </w:div>
    <w:div w:id="346248576">
      <w:bodyDiv w:val="1"/>
      <w:marLeft w:val="0"/>
      <w:marRight w:val="0"/>
      <w:marTop w:val="0"/>
      <w:marBottom w:val="0"/>
      <w:divBdr>
        <w:top w:val="none" w:sz="0" w:space="0" w:color="auto"/>
        <w:left w:val="none" w:sz="0" w:space="0" w:color="auto"/>
        <w:bottom w:val="none" w:sz="0" w:space="0" w:color="auto"/>
        <w:right w:val="none" w:sz="0" w:space="0" w:color="auto"/>
      </w:divBdr>
    </w:div>
    <w:div w:id="734817614">
      <w:bodyDiv w:val="1"/>
      <w:marLeft w:val="0"/>
      <w:marRight w:val="0"/>
      <w:marTop w:val="0"/>
      <w:marBottom w:val="0"/>
      <w:divBdr>
        <w:top w:val="none" w:sz="0" w:space="0" w:color="auto"/>
        <w:left w:val="none" w:sz="0" w:space="0" w:color="auto"/>
        <w:bottom w:val="none" w:sz="0" w:space="0" w:color="auto"/>
        <w:right w:val="none" w:sz="0" w:space="0" w:color="auto"/>
      </w:divBdr>
    </w:div>
    <w:div w:id="937638711">
      <w:bodyDiv w:val="1"/>
      <w:marLeft w:val="0"/>
      <w:marRight w:val="0"/>
      <w:marTop w:val="0"/>
      <w:marBottom w:val="0"/>
      <w:divBdr>
        <w:top w:val="none" w:sz="0" w:space="0" w:color="auto"/>
        <w:left w:val="none" w:sz="0" w:space="0" w:color="auto"/>
        <w:bottom w:val="none" w:sz="0" w:space="0" w:color="auto"/>
        <w:right w:val="none" w:sz="0" w:space="0" w:color="auto"/>
      </w:divBdr>
    </w:div>
    <w:div w:id="1330906824">
      <w:bodyDiv w:val="1"/>
      <w:marLeft w:val="0"/>
      <w:marRight w:val="0"/>
      <w:marTop w:val="0"/>
      <w:marBottom w:val="0"/>
      <w:divBdr>
        <w:top w:val="none" w:sz="0" w:space="0" w:color="auto"/>
        <w:left w:val="none" w:sz="0" w:space="0" w:color="auto"/>
        <w:bottom w:val="none" w:sz="0" w:space="0" w:color="auto"/>
        <w:right w:val="none" w:sz="0" w:space="0" w:color="auto"/>
      </w:divBdr>
    </w:div>
    <w:div w:id="1726446573">
      <w:bodyDiv w:val="1"/>
      <w:marLeft w:val="0"/>
      <w:marRight w:val="0"/>
      <w:marTop w:val="0"/>
      <w:marBottom w:val="0"/>
      <w:divBdr>
        <w:top w:val="none" w:sz="0" w:space="0" w:color="auto"/>
        <w:left w:val="none" w:sz="0" w:space="0" w:color="auto"/>
        <w:bottom w:val="none" w:sz="0" w:space="0" w:color="auto"/>
        <w:right w:val="none" w:sz="0" w:space="0" w:color="auto"/>
      </w:divBdr>
    </w:div>
    <w:div w:id="1864972434">
      <w:bodyDiv w:val="1"/>
      <w:marLeft w:val="0"/>
      <w:marRight w:val="0"/>
      <w:marTop w:val="0"/>
      <w:marBottom w:val="0"/>
      <w:divBdr>
        <w:top w:val="none" w:sz="0" w:space="0" w:color="auto"/>
        <w:left w:val="none" w:sz="0" w:space="0" w:color="auto"/>
        <w:bottom w:val="none" w:sz="0" w:space="0" w:color="auto"/>
        <w:right w:val="none" w:sz="0" w:space="0" w:color="auto"/>
      </w:divBdr>
    </w:div>
    <w:div w:id="1907647499">
      <w:bodyDiv w:val="1"/>
      <w:marLeft w:val="0"/>
      <w:marRight w:val="0"/>
      <w:marTop w:val="0"/>
      <w:marBottom w:val="0"/>
      <w:divBdr>
        <w:top w:val="none" w:sz="0" w:space="0" w:color="auto"/>
        <w:left w:val="none" w:sz="0" w:space="0" w:color="auto"/>
        <w:bottom w:val="none" w:sz="0" w:space="0" w:color="auto"/>
        <w:right w:val="none" w:sz="0" w:space="0" w:color="auto"/>
      </w:divBdr>
    </w:div>
    <w:div w:id="2092237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dc.gov/mmwr/volumes/72/wr/mm7244a1.htm?s_cid=mm7244a1_w" TargetMode="External"/><Relationship Id="rId1" Type="http://schemas.openxmlformats.org/officeDocument/2006/relationships/hyperlink" Target="https://www.fda.gov/tobacco-products/retail-sales-tobacco-products/tobacco-2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j6PV0B67giGyUePeeq/ste1s7+Q==">AMUW2mVflWiwQO5KDtCh7dvt0u2xqiPzdDvKrX/z+KqZuQfbS/uA7/X3dWf1wzyeh+qzGdlpcXlJrnCUAdTo6hA1TWva722ZbcDFrhi1TNwikwVzW3A+eFgIaBpVFphqjlIydMTXyZLX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772D8D-1799-2040-B99A-1E91BF189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1190</Words>
  <Characters>6651</Characters>
  <Application>Microsoft Office Word</Application>
  <DocSecurity>0</DocSecurity>
  <Lines>101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Rhea Warren</dc:creator>
  <cp:lastModifiedBy>Jeff Smith</cp:lastModifiedBy>
  <cp:revision>3</cp:revision>
  <dcterms:created xsi:type="dcterms:W3CDTF">2024-12-12T15:52:00Z</dcterms:created>
  <dcterms:modified xsi:type="dcterms:W3CDTF">2024-12-12T16:37:00Z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68787d33fa8ff84ca73408c6d7d4c824f6bf710653e65966d49bd6cd5a6d70ec</vt:lpwstr>
  </property>
</Properties>
</file>